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仿宋_GB2312" w:eastAsia="仿宋_GB2312" w:cs="仿宋_GB2312"/>
          <w:color w:val="000000"/>
          <w:sz w:val="32"/>
          <w:szCs w:val="32"/>
        </w:rPr>
      </w:pPr>
    </w:p>
    <w:p>
      <w:pPr>
        <w:spacing w:line="700" w:lineRule="exact"/>
        <w:jc w:val="center"/>
        <w:rPr>
          <w:rFonts w:ascii="仿宋_GB2312" w:eastAsia="仿宋_GB2312" w:cs="仿宋_GB2312"/>
          <w:color w:val="000000"/>
          <w:sz w:val="32"/>
          <w:szCs w:val="32"/>
        </w:rPr>
      </w:pPr>
    </w:p>
    <w:p>
      <w:pPr>
        <w:spacing w:line="700" w:lineRule="exact"/>
        <w:jc w:val="center"/>
        <w:rPr>
          <w:rFonts w:ascii="仿宋_GB2312" w:eastAsia="仿宋_GB2312" w:cs="仿宋_GB2312"/>
          <w:color w:val="000000"/>
          <w:sz w:val="32"/>
          <w:szCs w:val="32"/>
        </w:rPr>
      </w:pPr>
    </w:p>
    <w:p>
      <w:pPr>
        <w:spacing w:line="700" w:lineRule="exact"/>
        <w:jc w:val="center"/>
        <w:rPr>
          <w:rFonts w:ascii="仿宋_GB2312" w:eastAsia="仿宋_GB2312" w:cs="仿宋_GB2312"/>
          <w:color w:val="000000"/>
          <w:sz w:val="32"/>
          <w:szCs w:val="32"/>
        </w:rPr>
      </w:pPr>
    </w:p>
    <w:p>
      <w:pPr>
        <w:keepNext w:val="0"/>
        <w:keepLines w:val="0"/>
        <w:pageBreakBefore w:val="0"/>
        <w:kinsoku/>
        <w:wordWrap/>
        <w:overflowPunct/>
        <w:topLinePunct w:val="0"/>
        <w:bidi w:val="0"/>
        <w:adjustRightInd/>
        <w:snapToGrid/>
        <w:spacing w:line="560" w:lineRule="exact"/>
        <w:jc w:val="center"/>
        <w:textAlignment w:val="auto"/>
        <w:rPr>
          <w:rFonts w:ascii="仿宋_GB2312" w:eastAsia="仿宋_GB2312" w:cs="仿宋_GB2312"/>
          <w:color w:val="000000"/>
          <w:sz w:val="32"/>
          <w:szCs w:val="32"/>
        </w:rPr>
      </w:pPr>
      <w:bookmarkStart w:id="0" w:name="_GoBack"/>
      <w:r>
        <w:rPr>
          <w:rFonts w:hint="eastAsia" w:ascii="仿宋_GB2312" w:hAnsi="仿宋_GB2312" w:eastAsia="仿宋_GB2312" w:cs="仿宋_GB2312"/>
          <w:color w:val="000000"/>
          <w:sz w:val="32"/>
          <w:szCs w:val="32"/>
        </w:rPr>
        <w:t>山政办发〔202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r>
        <w:rPr>
          <w:rFonts w:hint="default" w:ascii="仿宋_GB2312" w:hAnsi="仿宋_GB2312" w:eastAsia="仿宋_GB2312" w:cs="仿宋_GB2312"/>
          <w:color w:val="000000"/>
          <w:sz w:val="32"/>
          <w:szCs w:val="32"/>
          <w:lang w:val="en" w:eastAsia="zh-CN"/>
        </w:rPr>
        <w:t>10</w:t>
      </w:r>
      <w:r>
        <w:rPr>
          <w:rFonts w:hint="eastAsia" w:ascii="仿宋_GB2312" w:hAnsi="仿宋_GB2312" w:eastAsia="仿宋_GB2312" w:cs="仿宋_GB2312"/>
          <w:color w:val="000000"/>
          <w:sz w:val="32"/>
          <w:szCs w:val="32"/>
        </w:rPr>
        <w:t>号</w:t>
      </w:r>
    </w:p>
    <w:bookmarkEnd w:id="0"/>
    <w:p>
      <w:pPr>
        <w:keepNext w:val="0"/>
        <w:keepLines w:val="0"/>
        <w:pageBreakBefore w:val="0"/>
        <w:kinsoku/>
        <w:wordWrap/>
        <w:overflowPunct/>
        <w:topLinePunct w:val="0"/>
        <w:bidi w:val="0"/>
        <w:adjustRightInd/>
        <w:snapToGrid/>
        <w:spacing w:line="560" w:lineRule="exact"/>
        <w:jc w:val="center"/>
        <w:textAlignment w:val="auto"/>
        <w:rPr>
          <w:rFonts w:ascii="仿宋_GB2312" w:eastAsia="仿宋_GB2312" w:cs="仿宋_GB2312"/>
          <w:color w:val="000000"/>
          <w:sz w:val="32"/>
          <w:szCs w:val="32"/>
        </w:rPr>
      </w:pPr>
    </w:p>
    <w:p>
      <w:pPr>
        <w:keepNext w:val="0"/>
        <w:keepLines w:val="0"/>
        <w:pageBreakBefore w:val="0"/>
        <w:kinsoku/>
        <w:wordWrap/>
        <w:overflowPunct/>
        <w:topLinePunct w:val="0"/>
        <w:bidi w:val="0"/>
        <w:adjustRightInd/>
        <w:snapToGrid/>
        <w:spacing w:line="560" w:lineRule="exact"/>
        <w:jc w:val="center"/>
        <w:textAlignment w:val="auto"/>
        <w:rPr>
          <w:rFonts w:ascii="仿宋_GB2312" w:eastAsia="仿宋_GB2312" w:cs="仿宋_GB2312"/>
          <w:color w:val="000000"/>
          <w:sz w:val="32"/>
          <w:szCs w:val="32"/>
        </w:rPr>
      </w:pPr>
    </w:p>
    <w:p>
      <w:pPr>
        <w:pStyle w:val="3"/>
        <w:keepNext w:val="0"/>
        <w:keepLines w:val="0"/>
        <w:pageBreakBefore w:val="0"/>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山亭区人民政府办公室</w:t>
      </w:r>
    </w:p>
    <w:p>
      <w:pPr>
        <w:pStyle w:val="3"/>
        <w:keepNext w:val="0"/>
        <w:keepLines w:val="0"/>
        <w:pageBreakBefore w:val="0"/>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color w:val="000000"/>
          <w:kern w:val="0"/>
          <w:sz w:val="44"/>
          <w:szCs w:val="44"/>
        </w:rPr>
        <w:t>山亭区202</w:t>
      </w:r>
      <w:r>
        <w:rPr>
          <w:rFonts w:hint="eastAsia" w:ascii="方正小标宋简体" w:hAnsi="方正小标宋简体" w:eastAsia="方正小标宋简体" w:cs="方正小标宋简体"/>
          <w:color w:val="000000"/>
          <w:kern w:val="0"/>
          <w:sz w:val="44"/>
          <w:szCs w:val="44"/>
          <w:lang w:val="en-US" w:eastAsia="zh-CN"/>
        </w:rPr>
        <w:t>4</w:t>
      </w:r>
      <w:r>
        <w:rPr>
          <w:rFonts w:hint="eastAsia" w:ascii="方正小标宋简体" w:hAnsi="方正小标宋简体" w:eastAsia="方正小标宋简体" w:cs="方正小标宋简体"/>
          <w:color w:val="000000"/>
          <w:kern w:val="0"/>
          <w:sz w:val="44"/>
          <w:szCs w:val="44"/>
        </w:rPr>
        <w:t>年度城乡居民基本</w:t>
      </w:r>
    </w:p>
    <w:p>
      <w:pPr>
        <w:pStyle w:val="3"/>
        <w:keepNext w:val="0"/>
        <w:keepLines w:val="0"/>
        <w:pageBreakBefore w:val="0"/>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养老、基本医疗保险集中征缴工作</w:t>
      </w:r>
    </w:p>
    <w:p>
      <w:pPr>
        <w:pStyle w:val="3"/>
        <w:keepNext w:val="0"/>
        <w:keepLines w:val="0"/>
        <w:pageBreakBefore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小标宋简体" w:cs="Times New Roman"/>
          <w:color w:val="000000"/>
          <w:sz w:val="44"/>
          <w:szCs w:val="44"/>
        </w:rPr>
      </w:pPr>
      <w:r>
        <w:rPr>
          <w:rFonts w:hint="eastAsia" w:ascii="方正小标宋简体" w:hAnsi="方正小标宋简体" w:eastAsia="方正小标宋简体" w:cs="方正小标宋简体"/>
          <w:color w:val="000000"/>
          <w:kern w:val="0"/>
          <w:sz w:val="44"/>
          <w:szCs w:val="44"/>
        </w:rPr>
        <w:t>实施方案</w:t>
      </w:r>
      <w:r>
        <w:rPr>
          <w:rFonts w:hint="eastAsia" w:ascii="方正小标宋简体" w:hAnsi="方正小标宋简体" w:eastAsia="方正小标宋简体" w:cs="方正小标宋简体"/>
          <w:sz w:val="44"/>
          <w:szCs w:val="44"/>
        </w:rPr>
        <w:t>》的通知</w:t>
      </w:r>
    </w:p>
    <w:p>
      <w:pPr>
        <w:keepNext w:val="0"/>
        <w:keepLines w:val="0"/>
        <w:pageBreakBefore w:val="0"/>
        <w:kinsoku/>
        <w:overflowPunct/>
        <w:topLinePunct w:val="0"/>
        <w:autoSpaceDE w:val="0"/>
        <w:autoSpaceDN/>
        <w:bidi w:val="0"/>
        <w:adjustRightInd/>
        <w:spacing w:line="560" w:lineRule="exact"/>
        <w:ind w:right="315" w:rightChars="15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right="0" w:rightChars="0" w:firstLine="0" w:firstLineChars="0"/>
        <w:jc w:val="left"/>
        <w:textAlignment w:val="auto"/>
        <w:rPr>
          <w:rFonts w:hint="eastAsia" w:ascii="仿宋_GB2312" w:eastAsia="仿宋_GB2312"/>
          <w:sz w:val="32"/>
          <w:szCs w:val="32"/>
        </w:rPr>
      </w:pPr>
      <w:r>
        <w:rPr>
          <w:rFonts w:hint="eastAsia" w:ascii="仿宋_GB2312" w:eastAsia="仿宋_GB2312"/>
          <w:sz w:val="32"/>
          <w:szCs w:val="32"/>
        </w:rPr>
        <w:t>各镇人民政府，山城街道办事处，</w:t>
      </w:r>
      <w:r>
        <w:rPr>
          <w:rFonts w:hint="eastAsia" w:ascii="仿宋_GB2312" w:eastAsia="仿宋_GB2312"/>
          <w:sz w:val="32"/>
          <w:szCs w:val="32"/>
          <w:lang w:val="en-US" w:eastAsia="zh-CN"/>
        </w:rPr>
        <w:t>山亭经济开发区管委会，</w:t>
      </w:r>
      <w:r>
        <w:rPr>
          <w:rFonts w:hint="eastAsia" w:ascii="仿宋_GB2312" w:eastAsia="仿宋_GB2312"/>
          <w:sz w:val="32"/>
          <w:szCs w:val="32"/>
        </w:rPr>
        <w:t>区</w:t>
      </w:r>
      <w:r>
        <w:rPr>
          <w:rFonts w:hint="eastAsia" w:ascii="仿宋_GB2312" w:eastAsia="仿宋_GB2312"/>
          <w:sz w:val="32"/>
          <w:szCs w:val="32"/>
          <w:lang w:eastAsia="zh-CN"/>
        </w:rPr>
        <w:t>直</w:t>
      </w:r>
      <w:r>
        <w:rPr>
          <w:rFonts w:hint="eastAsia" w:ascii="仿宋_GB2312" w:eastAsia="仿宋_GB2312"/>
          <w:sz w:val="32"/>
          <w:szCs w:val="32"/>
        </w:rPr>
        <w:t>有关部门单位：</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color w:val="000000"/>
          <w:kern w:val="0"/>
          <w:sz w:val="32"/>
          <w:szCs w:val="32"/>
        </w:rPr>
        <w:t>山亭区202</w:t>
      </w:r>
      <w:r>
        <w:rPr>
          <w:rFonts w:hint="eastAsia" w:ascii="仿宋_GB2312" w:hAnsi="仿宋_GB2312" w:eastAsia="仿宋_GB2312" w:cs="仿宋_GB2312"/>
          <w:b w:val="0"/>
          <w:bCs w:val="0"/>
          <w:color w:val="000000"/>
          <w:kern w:val="0"/>
          <w:sz w:val="32"/>
          <w:szCs w:val="32"/>
          <w:lang w:val="en-US" w:eastAsia="zh-CN"/>
        </w:rPr>
        <w:t>4</w:t>
      </w:r>
      <w:r>
        <w:rPr>
          <w:rFonts w:hint="eastAsia" w:ascii="仿宋_GB2312" w:hAnsi="仿宋_GB2312" w:eastAsia="仿宋_GB2312" w:cs="仿宋_GB2312"/>
          <w:b w:val="0"/>
          <w:bCs w:val="0"/>
          <w:color w:val="000000"/>
          <w:kern w:val="0"/>
          <w:sz w:val="32"/>
          <w:szCs w:val="32"/>
        </w:rPr>
        <w:t>年度城乡居民基本养老、基本医疗保险集中征缴工作实施方案</w:t>
      </w:r>
      <w:r>
        <w:rPr>
          <w:rFonts w:hint="eastAsia" w:ascii="仿宋_GB2312" w:hAnsi="仿宋_GB2312" w:eastAsia="仿宋_GB2312" w:cs="仿宋_GB2312"/>
          <w:sz w:val="32"/>
          <w:szCs w:val="32"/>
        </w:rPr>
        <w:t>》已经区政府同意，现印发给你们，请</w:t>
      </w:r>
      <w:r>
        <w:rPr>
          <w:rFonts w:hint="eastAsia" w:ascii="仿宋_GB2312" w:hAnsi="仿宋_GB2312" w:eastAsia="仿宋_GB2312" w:cs="仿宋_GB2312"/>
          <w:sz w:val="32"/>
          <w:szCs w:val="32"/>
          <w:lang w:eastAsia="zh-CN"/>
        </w:rPr>
        <w:t>认真贯彻落实</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rPr>
      </w:pPr>
    </w:p>
    <w:p>
      <w:pPr>
        <w:pStyle w:val="2"/>
        <w:keepNext w:val="0"/>
        <w:keepLines w:val="0"/>
        <w:pageBreakBefore w:val="0"/>
        <w:widowControl w:val="0"/>
        <w:kinsoku/>
        <w:wordWrap w:val="0"/>
        <w:overflowPunct/>
        <w:topLinePunct w:val="0"/>
        <w:autoSpaceDE/>
        <w:autoSpaceDN/>
        <w:bidi w:val="0"/>
        <w:adjustRightInd/>
        <w:spacing w:line="560" w:lineRule="exact"/>
        <w:jc w:val="righ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山亭区人民政府办公室</w:t>
      </w:r>
      <w:r>
        <w:rPr>
          <w:rFonts w:hint="eastAsia" w:hAnsi="仿宋_GB2312" w:cs="仿宋_GB2312"/>
          <w:color w:val="000000"/>
          <w:spacing w:val="6"/>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2023年11月</w:t>
      </w:r>
      <w:r>
        <w:rPr>
          <w:rFonts w:hint="default" w:ascii="仿宋_GB2312" w:hAnsi="仿宋_GB2312" w:eastAsia="仿宋_GB2312" w:cs="仿宋_GB2312"/>
          <w:color w:val="000000"/>
          <w:sz w:val="32"/>
          <w:szCs w:val="32"/>
          <w:lang w:val="en" w:eastAsia="zh-CN"/>
        </w:rPr>
        <w:t>10</w:t>
      </w:r>
      <w:r>
        <w:rPr>
          <w:rFonts w:hint="eastAsia" w:ascii="仿宋_GB2312" w:hAnsi="仿宋_GB2312" w:eastAsia="仿宋_GB2312" w:cs="仿宋_GB2312"/>
          <w:color w:val="000000"/>
          <w:sz w:val="32"/>
          <w:szCs w:val="32"/>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此件公开发布</w:t>
      </w:r>
      <w:r>
        <w:rPr>
          <w:rFonts w:hint="eastAsia" w:ascii="Times New Roman" w:hAnsi="Times New Roman" w:eastAsia="仿宋_GB2312" w:cs="Times New Roman"/>
          <w:kern w:val="0"/>
          <w:sz w:val="32"/>
          <w:szCs w:val="32"/>
          <w:lang w:eastAsia="zh-CN"/>
        </w:rPr>
        <w:t>）</w:t>
      </w:r>
    </w:p>
    <w:p>
      <w:pPr>
        <w:pStyle w:val="3"/>
        <w:keepNext w:val="0"/>
        <w:keepLines w:val="0"/>
        <w:pageBreakBefore w:val="0"/>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山亭区202</w:t>
      </w:r>
      <w:r>
        <w:rPr>
          <w:rFonts w:hint="eastAsia" w:ascii="方正小标宋简体" w:hAnsi="方正小标宋简体" w:eastAsia="方正小标宋简体" w:cs="方正小标宋简体"/>
          <w:color w:val="000000"/>
          <w:kern w:val="0"/>
          <w:sz w:val="44"/>
          <w:szCs w:val="44"/>
          <w:lang w:val="en-US" w:eastAsia="zh-CN"/>
        </w:rPr>
        <w:t>4</w:t>
      </w:r>
      <w:r>
        <w:rPr>
          <w:rFonts w:hint="eastAsia" w:ascii="方正小标宋简体" w:hAnsi="方正小标宋简体" w:eastAsia="方正小标宋简体" w:cs="方正小标宋简体"/>
          <w:color w:val="000000"/>
          <w:kern w:val="0"/>
          <w:sz w:val="44"/>
          <w:szCs w:val="44"/>
        </w:rPr>
        <w:t>年度城乡居民基本养老、基本</w:t>
      </w:r>
    </w:p>
    <w:p>
      <w:pPr>
        <w:pStyle w:val="3"/>
        <w:keepNext w:val="0"/>
        <w:keepLines w:val="0"/>
        <w:pageBreakBefore w:val="0"/>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医疗保险集中征缴工作实施方案</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为认真做好全区城乡居民基本养老保险、基本医疗保险征缴工作，进一步整合基层社会保险经办内容，规范经办流程，提高征缴效率，巩固深化居民养老、医疗保险全覆盖成果，</w:t>
      </w:r>
      <w:r>
        <w:rPr>
          <w:rFonts w:hint="eastAsia" w:ascii="仿宋_GB2312" w:hAnsi="仿宋_GB2312" w:eastAsia="仿宋_GB2312" w:cs="仿宋_GB2312"/>
          <w:color w:val="000000"/>
          <w:sz w:val="32"/>
          <w:szCs w:val="32"/>
        </w:rPr>
        <w:t>根据省、市有关文件规定，结合我区实际，决定在全区</w:t>
      </w:r>
      <w:r>
        <w:rPr>
          <w:rFonts w:hint="eastAsia" w:ascii="仿宋_GB2312" w:hAnsi="仿宋_GB2312" w:eastAsia="仿宋_GB2312" w:cs="仿宋_GB2312"/>
          <w:kern w:val="0"/>
          <w:sz w:val="32"/>
          <w:szCs w:val="32"/>
        </w:rPr>
        <w:t>开展202</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sz w:val="32"/>
          <w:szCs w:val="32"/>
        </w:rPr>
        <w:t>居民养老、医疗保险费“集中征缴”工作，特</w:t>
      </w:r>
      <w:r>
        <w:rPr>
          <w:rFonts w:hint="eastAsia" w:ascii="仿宋_GB2312" w:hAnsi="仿宋_GB2312" w:eastAsia="仿宋_GB2312" w:cs="仿宋_GB2312"/>
          <w:color w:val="000000"/>
          <w:sz w:val="32"/>
          <w:szCs w:val="32"/>
        </w:rPr>
        <w:t>制定实施方案如下：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以习近平新时代中国特色社会主义思想为指导，全面贯彻党的二十大精神</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坚持人民至上，积极引导、鼓励城乡居民参保缴费，进一步扩大参保覆盖范围，促进应保尽保，全面完成202</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年度城乡居民两险参保征缴工作目标任务。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eastAsia="zh-CN"/>
        </w:rPr>
        <w:t>一</w:t>
      </w:r>
      <w:r>
        <w:rPr>
          <w:rFonts w:hint="eastAsia" w:ascii="楷体_GB2312" w:hAnsi="楷体_GB2312" w:eastAsia="楷体_GB2312" w:cs="楷体_GB2312"/>
          <w:kern w:val="0"/>
          <w:sz w:val="32"/>
          <w:szCs w:val="32"/>
        </w:rPr>
        <w:t>）坚持政府主责。</w:t>
      </w:r>
      <w:r>
        <w:rPr>
          <w:rFonts w:hint="default" w:ascii="Times New Roman" w:hAnsi="Times New Roman" w:eastAsia="仿宋_GB2312" w:cs="Times New Roman"/>
          <w:kern w:val="0"/>
          <w:sz w:val="32"/>
          <w:szCs w:val="32"/>
        </w:rPr>
        <w:t>镇（街）承担征缴工作的主体责任，加强对辖区城乡居民社会保险征缴工作的领导，充分发挥社区、村组等基层组织的作用，坚决支持税务、人社、医保等部门履行职责，平稳</w:t>
      </w:r>
      <w:r>
        <w:rPr>
          <w:rFonts w:hint="eastAsia" w:ascii="Times New Roman" w:hAnsi="Times New Roman" w:eastAsia="仿宋_GB2312" w:cs="Times New Roman"/>
          <w:kern w:val="0"/>
          <w:sz w:val="32"/>
          <w:szCs w:val="32"/>
          <w:lang w:eastAsia="zh-CN"/>
        </w:rPr>
        <w:t>有序的做好</w:t>
      </w:r>
      <w:r>
        <w:rPr>
          <w:rFonts w:hint="default" w:ascii="Times New Roman" w:hAnsi="Times New Roman" w:eastAsia="仿宋_GB2312" w:cs="Times New Roman"/>
          <w:kern w:val="0"/>
          <w:sz w:val="32"/>
          <w:szCs w:val="32"/>
        </w:rPr>
        <w:t>辖区范围内城乡居民社会保险费征缴工作。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eastAsia="zh-CN"/>
        </w:rPr>
        <w:t>二</w:t>
      </w:r>
      <w:r>
        <w:rPr>
          <w:rFonts w:hint="eastAsia" w:ascii="楷体_GB2312" w:hAnsi="楷体_GB2312" w:eastAsia="楷体_GB2312" w:cs="楷体_GB2312"/>
          <w:kern w:val="0"/>
          <w:sz w:val="32"/>
          <w:szCs w:val="32"/>
        </w:rPr>
        <w:t>）确保平稳有序。</w:t>
      </w:r>
      <w:r>
        <w:rPr>
          <w:rFonts w:hint="eastAsia" w:ascii="仿宋_GB2312" w:hAnsi="仿宋_GB2312" w:eastAsia="仿宋_GB2312" w:cs="仿宋_GB2312"/>
          <w:kern w:val="0"/>
          <w:sz w:val="32"/>
          <w:szCs w:val="32"/>
        </w:rPr>
        <w:t>保持原有征缴组织方式不变</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流程运行顺畅</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推行小程序、银行网点、办费窗口征缴渠道的同时，做到稳字当头，科学谋划，分级组织，稳步实施，切实防范风险，确保征缴工作有序衔接。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（三）突出服务便民。</w:t>
      </w:r>
      <w:r>
        <w:rPr>
          <w:rFonts w:hint="default" w:ascii="Times New Roman" w:hAnsi="Times New Roman" w:eastAsia="仿宋_GB2312" w:cs="Times New Roman"/>
          <w:kern w:val="0"/>
          <w:sz w:val="32"/>
          <w:szCs w:val="32"/>
        </w:rPr>
        <w:t>创新缴费服务方式，不断优化缴费渠道，大力推行电子税务局、微信小程序、支付宝、爱山东</w:t>
      </w:r>
      <w:r>
        <w:rPr>
          <w:rFonts w:hint="eastAsia" w:ascii="仿宋_GB2312" w:hAnsi="仿宋_GB2312" w:eastAsia="仿宋_GB2312" w:cs="仿宋_GB2312"/>
          <w:kern w:val="0"/>
          <w:sz w:val="32"/>
          <w:szCs w:val="32"/>
        </w:rPr>
        <w:t>App、移动</w:t>
      </w:r>
      <w:r>
        <w:rPr>
          <w:rFonts w:hint="eastAsia" w:ascii="仿宋_GB2312" w:hAnsi="仿宋_GB2312" w:eastAsia="仿宋_GB2312" w:cs="仿宋_GB2312"/>
          <w:kern w:val="0"/>
          <w:sz w:val="32"/>
          <w:szCs w:val="32"/>
          <w:lang w:eastAsia="zh-CN"/>
        </w:rPr>
        <w:t>POS</w:t>
      </w:r>
      <w:r>
        <w:rPr>
          <w:rFonts w:hint="eastAsia" w:ascii="仿宋_GB2312" w:hAnsi="仿宋_GB2312" w:eastAsia="仿宋_GB2312" w:cs="仿宋_GB2312"/>
          <w:kern w:val="0"/>
          <w:sz w:val="32"/>
          <w:szCs w:val="32"/>
        </w:rPr>
        <w:t>机、银联商务二维码等</w:t>
      </w:r>
      <w:r>
        <w:rPr>
          <w:rFonts w:hint="eastAsia" w:ascii="仿宋_GB2312" w:hAnsi="仿宋_GB2312" w:eastAsia="仿宋_GB2312" w:cs="仿宋_GB2312"/>
          <w:kern w:val="0"/>
          <w:sz w:val="32"/>
          <w:szCs w:val="32"/>
          <w:lang w:eastAsia="zh-CN"/>
        </w:rPr>
        <w:t>线上</w:t>
      </w:r>
      <w:r>
        <w:rPr>
          <w:rFonts w:hint="eastAsia" w:ascii="仿宋_GB2312" w:hAnsi="仿宋_GB2312" w:eastAsia="仿宋_GB2312" w:cs="仿宋_GB2312"/>
          <w:kern w:val="0"/>
          <w:sz w:val="32"/>
          <w:szCs w:val="32"/>
        </w:rPr>
        <w:t>信息化缴费方式，为缴费人提供多种便利高效的缴费服务。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黑体" w:cs="Times New Roman"/>
          <w:sz w:val="32"/>
          <w:szCs w:val="32"/>
        </w:rPr>
        <w:t>三、任务目标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开展城乡居民养老、医疗保险费征收经办优</w:t>
      </w:r>
      <w:r>
        <w:rPr>
          <w:rFonts w:hint="eastAsia" w:ascii="仿宋_GB2312" w:hAnsi="仿宋_GB2312" w:eastAsia="仿宋_GB2312" w:cs="仿宋_GB2312"/>
          <w:sz w:val="32"/>
          <w:szCs w:val="32"/>
        </w:rPr>
        <w:t>化整合，进一步提高城乡居民养老、医疗保险覆盖率，优化养老、医疗保险参保缴费经办流程，</w:t>
      </w:r>
      <w:r>
        <w:rPr>
          <w:rFonts w:hint="eastAsia" w:ascii="仿宋_GB2312" w:hAnsi="仿宋_GB2312" w:eastAsia="仿宋_GB2312" w:cs="仿宋_GB2312"/>
          <w:color w:val="000000"/>
          <w:sz w:val="32"/>
          <w:szCs w:val="32"/>
        </w:rPr>
        <w:t>简化办事程序，提升经办效率，方便居民便捷、高效参保缴费，实现参保居民共享社会经济发展成果的目标。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城乡居民医疗保险：应保尽保。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城乡居民养老保险：45－59岁人员参保缴费率达到95%以上；鼓励引导16-45岁的参保人员参保缴费率达到60%以上。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四、参保对象和范围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具有山亭区户籍且未参加城镇职工养老、医疗保险的城乡居民。在我区行政区域内长期居住且取得居住证的非本区户籍人员及其随迁子女，也可参加。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参加居民养老保险的须年满16周岁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不含在校学生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五、资金筹集</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（一）个人缴费标准</w:t>
      </w:r>
    </w:p>
    <w:p>
      <w:pPr>
        <w:pStyle w:val="15"/>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FF0000"/>
          <w:sz w:val="32"/>
          <w:szCs w:val="32"/>
          <w:u w:val="single"/>
        </w:rPr>
      </w:pPr>
      <w:r>
        <w:rPr>
          <w:rFonts w:hint="default" w:ascii="Times New Roman" w:hAnsi="Times New Roman" w:eastAsia="仿宋_GB2312" w:cs="Times New Roman"/>
          <w:b/>
          <w:bCs/>
          <w:color w:val="000000"/>
          <w:sz w:val="32"/>
          <w:szCs w:val="32"/>
        </w:rPr>
        <w:t>城乡居民养老保险</w:t>
      </w:r>
      <w:r>
        <w:rPr>
          <w:rFonts w:hint="default" w:ascii="Times New Roman" w:hAnsi="Times New Roman" w:eastAsia="仿宋_GB2312" w:cs="Times New Roman"/>
          <w:color w:val="000000"/>
          <w:sz w:val="32"/>
          <w:szCs w:val="32"/>
        </w:rPr>
        <w:t>：</w:t>
      </w:r>
      <w:r>
        <w:rPr>
          <w:rFonts w:hint="eastAsia" w:ascii="仿宋_GB2312" w:hAnsi="仿宋_GB2312" w:eastAsia="仿宋_GB2312" w:cs="仿宋_GB2312"/>
          <w:color w:val="000000"/>
          <w:sz w:val="32"/>
          <w:szCs w:val="32"/>
        </w:rPr>
        <w:t>标准</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100元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350元</w:t>
      </w:r>
      <w:r>
        <w:rPr>
          <w:rFonts w:hint="eastAsia" w:ascii="仿宋_GB2312" w:hAnsi="仿宋_GB2312" w:eastAsia="仿宋_GB2312" w:cs="仿宋_GB2312"/>
          <w:sz w:val="32"/>
          <w:szCs w:val="32"/>
        </w:rPr>
        <w:t>、500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、800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、1000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、3000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、5000元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8000元8</w:t>
      </w:r>
      <w:r>
        <w:rPr>
          <w:rFonts w:hint="eastAsia" w:ascii="仿宋_GB2312" w:hAnsi="仿宋_GB2312" w:eastAsia="仿宋_GB2312" w:cs="仿宋_GB2312"/>
          <w:sz w:val="32"/>
          <w:szCs w:val="32"/>
        </w:rPr>
        <w:t>个档次。其中，100元档次只适用于</w:t>
      </w:r>
      <w:r>
        <w:rPr>
          <w:rFonts w:hint="eastAsia" w:ascii="仿宋_GB2312" w:hAnsi="仿宋_GB2312" w:eastAsia="仿宋_GB2312" w:cs="仿宋_GB2312"/>
          <w:sz w:val="32"/>
          <w:szCs w:val="32"/>
          <w:lang w:eastAsia="zh-CN"/>
        </w:rPr>
        <w:t>重度残疾人等缴费</w:t>
      </w:r>
      <w:r>
        <w:rPr>
          <w:rFonts w:hint="eastAsia" w:ascii="仿宋_GB2312" w:hAnsi="仿宋_GB2312" w:eastAsia="仿宋_GB2312" w:cs="仿宋_GB2312"/>
          <w:sz w:val="32"/>
          <w:szCs w:val="32"/>
        </w:rPr>
        <w:t>困难群体的最低</w:t>
      </w:r>
      <w:r>
        <w:rPr>
          <w:rFonts w:hint="eastAsia" w:ascii="仿宋_GB2312" w:hAnsi="仿宋_GB2312" w:eastAsia="仿宋_GB2312" w:cs="仿宋_GB2312"/>
          <w:sz w:val="32"/>
          <w:szCs w:val="32"/>
          <w:lang w:eastAsia="zh-CN"/>
        </w:rPr>
        <w:t>选择。除</w:t>
      </w:r>
      <w:r>
        <w:rPr>
          <w:rFonts w:hint="eastAsia" w:ascii="仿宋_GB2312" w:hAnsi="仿宋_GB2312" w:eastAsia="仿宋_GB2312" w:cs="仿宋_GB2312"/>
          <w:sz w:val="32"/>
          <w:szCs w:val="32"/>
          <w:lang w:val="en-US" w:eastAsia="zh-CN"/>
        </w:rPr>
        <w:t>100元档次外，参保人自主选择缴费档次，按年缴费，多缴多得。</w:t>
      </w:r>
      <w:r>
        <w:rPr>
          <w:rFonts w:hint="eastAsia" w:ascii="仿宋_GB2312" w:hAnsi="仿宋_GB2312" w:eastAsia="仿宋_GB2312" w:cs="仿宋_GB2312"/>
          <w:sz w:val="32"/>
          <w:szCs w:val="32"/>
        </w:rPr>
        <w:t>缴费标准为100和3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0元的，政府补贴30元；缴费标准为500元</w:t>
      </w:r>
      <w:r>
        <w:rPr>
          <w:rFonts w:hint="eastAsia" w:ascii="仿宋_GB2312" w:hAnsi="仿宋_GB2312" w:eastAsia="仿宋_GB2312" w:cs="仿宋_GB2312"/>
          <w:sz w:val="32"/>
          <w:szCs w:val="32"/>
          <w:lang w:eastAsia="zh-CN"/>
        </w:rPr>
        <w:t>缴费标准</w:t>
      </w:r>
      <w:r>
        <w:rPr>
          <w:rFonts w:hint="eastAsia" w:ascii="仿宋_GB2312" w:hAnsi="仿宋_GB2312" w:eastAsia="仿宋_GB2312" w:cs="仿宋_GB2312"/>
          <w:sz w:val="32"/>
          <w:szCs w:val="32"/>
        </w:rPr>
        <w:t>的，政府补贴为60元；</w:t>
      </w:r>
      <w:r>
        <w:rPr>
          <w:rFonts w:hint="eastAsia" w:ascii="仿宋_GB2312" w:hAnsi="仿宋_GB2312" w:eastAsia="仿宋_GB2312" w:cs="仿宋_GB2312"/>
          <w:sz w:val="32"/>
          <w:szCs w:val="32"/>
          <w:lang w:eastAsia="zh-CN"/>
        </w:rPr>
        <w:t>选择</w:t>
      </w:r>
      <w:r>
        <w:rPr>
          <w:rFonts w:hint="eastAsia" w:ascii="仿宋_GB2312" w:hAnsi="仿宋_GB2312" w:eastAsia="仿宋_GB2312" w:cs="仿宋_GB2312"/>
          <w:sz w:val="32"/>
          <w:szCs w:val="32"/>
        </w:rPr>
        <w:t>800元及以上的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政府补贴为80元。对重度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一级、二级）残疾人，由政</w:t>
      </w:r>
      <w:r>
        <w:rPr>
          <w:rFonts w:hint="eastAsia" w:ascii="仿宋_GB2312" w:hAnsi="仿宋_GB2312" w:eastAsia="仿宋_GB2312" w:cs="仿宋_GB2312"/>
          <w:color w:val="000000"/>
          <w:sz w:val="32"/>
          <w:szCs w:val="32"/>
        </w:rPr>
        <w:t>府为其代缴养老保险费，缴费</w:t>
      </w:r>
      <w:r>
        <w:rPr>
          <w:rFonts w:hint="eastAsia" w:ascii="仿宋_GB2312" w:hAnsi="仿宋_GB2312" w:eastAsia="仿宋_GB2312" w:cs="仿宋_GB2312"/>
          <w:sz w:val="32"/>
          <w:szCs w:val="32"/>
        </w:rPr>
        <w:t>标准为每人每年100元。</w:t>
      </w:r>
    </w:p>
    <w:p>
      <w:pPr>
        <w:keepNext w:val="0"/>
        <w:keepLines w:val="0"/>
        <w:pageBreakBefore w:val="0"/>
        <w:kinsoku/>
        <w:wordWrap/>
        <w:overflowPunct/>
        <w:topLinePunct w:val="0"/>
        <w:bidi w:val="0"/>
        <w:snapToGrid/>
        <w:spacing w:line="600" w:lineRule="exact"/>
        <w:ind w:firstLine="643" w:firstLineChars="200"/>
        <w:contextualSpacing/>
        <w:textAlignment w:val="auto"/>
        <w:outlineLvl w:val="9"/>
        <w:rPr>
          <w:rFonts w:hint="default" w:ascii="仿宋_GB2312" w:hAnsi="仿宋_GB2312" w:eastAsia="仿宋_GB2312" w:cs="仿宋_GB2312"/>
          <w:color w:val="FF0000"/>
          <w:sz w:val="32"/>
          <w:szCs w:val="32"/>
        </w:rPr>
      </w:pPr>
      <w:r>
        <w:rPr>
          <w:rFonts w:hint="eastAsia" w:ascii="仿宋_GB2312" w:hAnsi="仿宋_GB2312" w:eastAsia="仿宋_GB2312" w:cs="仿宋_GB2312"/>
          <w:b/>
          <w:bCs/>
          <w:color w:val="000000"/>
          <w:sz w:val="32"/>
          <w:szCs w:val="32"/>
        </w:rPr>
        <w:t>城乡居民医疗保险</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val="0"/>
          <w:bCs/>
          <w:sz w:val="32"/>
          <w:szCs w:val="32"/>
        </w:rPr>
        <w:t>202</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年度标准为总额</w:t>
      </w:r>
      <w:r>
        <w:rPr>
          <w:rFonts w:hint="eastAsia" w:ascii="仿宋_GB2312" w:hAnsi="仿宋_GB2312" w:eastAsia="仿宋_GB2312" w:cs="仿宋_GB2312"/>
          <w:b w:val="0"/>
          <w:bCs/>
          <w:sz w:val="32"/>
          <w:szCs w:val="32"/>
          <w:lang w:val="en-US" w:eastAsia="zh-CN"/>
        </w:rPr>
        <w:t>1020</w:t>
      </w:r>
      <w:r>
        <w:rPr>
          <w:rFonts w:hint="eastAsia" w:ascii="仿宋_GB2312" w:hAnsi="仿宋_GB2312" w:eastAsia="仿宋_GB2312" w:cs="仿宋_GB2312"/>
          <w:b w:val="0"/>
          <w:bCs/>
          <w:sz w:val="32"/>
          <w:szCs w:val="32"/>
        </w:rPr>
        <w:t>元，个人缴纳3</w:t>
      </w:r>
      <w:r>
        <w:rPr>
          <w:rFonts w:hint="eastAsia" w:ascii="仿宋_GB2312" w:hAnsi="仿宋_GB2312" w:eastAsia="仿宋_GB2312" w:cs="仿宋_GB2312"/>
          <w:b w:val="0"/>
          <w:bCs/>
          <w:sz w:val="32"/>
          <w:szCs w:val="32"/>
          <w:lang w:val="en-US" w:eastAsia="zh-CN"/>
        </w:rPr>
        <w:t>80</w:t>
      </w:r>
      <w:r>
        <w:rPr>
          <w:rFonts w:hint="eastAsia" w:ascii="仿宋_GB2312" w:hAnsi="仿宋_GB2312" w:eastAsia="仿宋_GB2312" w:cs="仿宋_GB2312"/>
          <w:b w:val="0"/>
          <w:bCs/>
          <w:sz w:val="32"/>
          <w:szCs w:val="32"/>
        </w:rPr>
        <w:t>元，财政补助6</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0元。</w:t>
      </w:r>
      <w:r>
        <w:rPr>
          <w:rFonts w:hint="eastAsia" w:ascii="仿宋_GB2312" w:hAnsi="仿宋_GB2312" w:eastAsia="仿宋_GB2312" w:cs="仿宋_GB2312"/>
          <w:color w:val="auto"/>
          <w:sz w:val="32"/>
          <w:szCs w:val="32"/>
        </w:rPr>
        <w:t>特困人员、城乡最低生活保障对象、返贫致贫人口、低保边缘家庭成员及防止返贫监测帮扶对象，70岁（含70岁）以上老年人个人缴费部分由参保地政府或部门按规定予以代缴；60</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69岁的老年人个人缴费部分由参保地政府或部门承担50%。鼓励有条件的用人单位、镇（街）、村（居）集体经济组织等单位和个人对特殊人群和其他居民个人缴费部分给予全部或部分资助。</w:t>
      </w:r>
      <w:r>
        <w:rPr>
          <w:rFonts w:hint="eastAsia" w:ascii="仿宋_GB2312" w:hAnsi="仿宋_GB2312" w:eastAsia="仿宋_GB2312" w:cs="仿宋_GB2312"/>
          <w:color w:val="auto"/>
          <w:sz w:val="32"/>
          <w:szCs w:val="32"/>
          <w:lang w:val="en-US" w:eastAsia="zh-CN"/>
        </w:rPr>
        <w:t>2024年1</w:t>
      </w:r>
      <w:r>
        <w:rPr>
          <w:rFonts w:hint="default"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1日后,原则上不予退费。</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（二）集中征缴时间</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 w:val="0"/>
          <w:bCs/>
          <w:color w:val="000000"/>
          <w:sz w:val="32"/>
          <w:szCs w:val="32"/>
        </w:rPr>
        <w:t>202</w:t>
      </w:r>
      <w:r>
        <w:rPr>
          <w:rFonts w:hint="eastAsia" w:ascii="仿宋_GB2312" w:hAnsi="仿宋_GB2312" w:eastAsia="仿宋_GB2312" w:cs="仿宋_GB2312"/>
          <w:b w:val="0"/>
          <w:bCs/>
          <w:color w:val="000000"/>
          <w:sz w:val="32"/>
          <w:szCs w:val="32"/>
          <w:lang w:val="en-US" w:eastAsia="zh-CN"/>
        </w:rPr>
        <w:t>3</w:t>
      </w:r>
      <w:r>
        <w:rPr>
          <w:rFonts w:hint="eastAsia" w:ascii="仿宋_GB2312" w:hAnsi="仿宋_GB2312" w:eastAsia="仿宋_GB2312" w:cs="仿宋_GB2312"/>
          <w:b w:val="0"/>
          <w:bCs/>
          <w:color w:val="000000"/>
          <w:sz w:val="32"/>
          <w:szCs w:val="32"/>
        </w:rPr>
        <w:t>年10月1日</w:t>
      </w:r>
      <w:r>
        <w:rPr>
          <w:rFonts w:hint="eastAsia" w:ascii="仿宋_GB2312" w:hAnsi="仿宋_GB2312" w:eastAsia="仿宋_GB2312" w:cs="仿宋_GB2312"/>
          <w:b w:val="0"/>
          <w:bCs/>
          <w:color w:val="000000"/>
          <w:sz w:val="32"/>
          <w:szCs w:val="32"/>
          <w:lang w:val="en-US" w:eastAsia="zh-CN"/>
        </w:rPr>
        <w:t>—</w:t>
      </w:r>
      <w:r>
        <w:rPr>
          <w:rFonts w:hint="eastAsia" w:ascii="仿宋_GB2312" w:hAnsi="仿宋_GB2312" w:eastAsia="仿宋_GB2312" w:cs="仿宋_GB2312"/>
          <w:b w:val="0"/>
          <w:bCs/>
          <w:color w:val="000000"/>
          <w:sz w:val="32"/>
          <w:szCs w:val="32"/>
        </w:rPr>
        <w:t>12月31日为我区202</w:t>
      </w:r>
      <w:r>
        <w:rPr>
          <w:rFonts w:hint="eastAsia" w:ascii="仿宋_GB2312" w:hAnsi="仿宋_GB2312" w:eastAsia="仿宋_GB2312" w:cs="仿宋_GB2312"/>
          <w:b w:val="0"/>
          <w:bCs/>
          <w:color w:val="000000"/>
          <w:sz w:val="32"/>
          <w:szCs w:val="32"/>
          <w:lang w:val="en-US" w:eastAsia="zh-CN"/>
        </w:rPr>
        <w:t>4</w:t>
      </w:r>
      <w:r>
        <w:rPr>
          <w:rFonts w:hint="eastAsia" w:ascii="仿宋_GB2312" w:hAnsi="仿宋_GB2312" w:eastAsia="仿宋_GB2312" w:cs="仿宋_GB2312"/>
          <w:b w:val="0"/>
          <w:bCs/>
          <w:color w:val="000000"/>
          <w:sz w:val="32"/>
          <w:szCs w:val="32"/>
        </w:rPr>
        <w:t>年度城乡居民基本医疗保险集中缴费期。在</w:t>
      </w:r>
      <w:r>
        <w:rPr>
          <w:rFonts w:hint="eastAsia" w:ascii="仿宋_GB2312" w:hAnsi="仿宋_GB2312" w:eastAsia="仿宋_GB2312" w:cs="仿宋_GB2312"/>
          <w:color w:val="000000"/>
          <w:sz w:val="32"/>
          <w:szCs w:val="32"/>
        </w:rPr>
        <w:t>集中缴费期按时缴费的，</w:t>
      </w:r>
      <w:r>
        <w:rPr>
          <w:rFonts w:hint="eastAsia" w:ascii="仿宋_GB2312" w:hAnsi="仿宋_GB2312" w:eastAsia="仿宋_GB2312" w:cs="仿宋_GB2312"/>
          <w:bCs/>
          <w:kern w:val="0"/>
          <w:sz w:val="32"/>
          <w:szCs w:val="32"/>
        </w:rPr>
        <w:t>享受202</w:t>
      </w:r>
      <w:r>
        <w:rPr>
          <w:rFonts w:hint="eastAsia" w:ascii="仿宋_GB2312" w:hAnsi="仿宋_GB2312" w:eastAsia="仿宋_GB2312" w:cs="仿宋_GB2312"/>
          <w:bCs/>
          <w:kern w:val="0"/>
          <w:sz w:val="32"/>
          <w:szCs w:val="32"/>
          <w:lang w:val="en-US" w:eastAsia="zh-CN"/>
        </w:rPr>
        <w:t>4</w:t>
      </w:r>
      <w:r>
        <w:rPr>
          <w:rFonts w:hint="eastAsia" w:ascii="仿宋_GB2312" w:hAnsi="仿宋_GB2312" w:eastAsia="仿宋_GB2312" w:cs="仿宋_GB2312"/>
          <w:bCs/>
          <w:kern w:val="0"/>
          <w:sz w:val="32"/>
          <w:szCs w:val="32"/>
        </w:rPr>
        <w:t>全年居民医保待遇。</w:t>
      </w:r>
      <w:r>
        <w:rPr>
          <w:rFonts w:hint="eastAsia" w:ascii="仿宋_GB2312" w:hAnsi="仿宋_GB2312" w:eastAsia="仿宋_GB2312" w:cs="仿宋_GB2312"/>
          <w:bCs/>
          <w:kern w:val="0"/>
          <w:sz w:val="32"/>
          <w:szCs w:val="32"/>
          <w:lang w:eastAsia="zh-CN"/>
        </w:rPr>
        <w:t>对未在集中征缴期参保缴费的人员待遇等待期调整为</w:t>
      </w:r>
      <w:r>
        <w:rPr>
          <w:rFonts w:hint="eastAsia" w:ascii="仿宋_GB2312" w:hAnsi="仿宋_GB2312" w:eastAsia="仿宋_GB2312" w:cs="仿宋_GB2312"/>
          <w:bCs/>
          <w:kern w:val="0"/>
          <w:sz w:val="32"/>
          <w:szCs w:val="32"/>
          <w:lang w:val="en-US" w:eastAsia="zh-CN"/>
        </w:rPr>
        <w:t>30日。</w:t>
      </w:r>
    </w:p>
    <w:p>
      <w:pPr>
        <w:pStyle w:val="1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（三）征缴方式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城乡居民两险征缴方式主要包括以下几种：集中征缴期内委托代收、个人自行申报缴费以及特殊情形缴费。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城乡居民集中征缴期内委托代收</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sz w:val="32"/>
          <w:szCs w:val="32"/>
        </w:rPr>
        <w:t>农村和部分城镇居民由于居住相对集中，以镇</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街</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为主体，组织辖区内村（社区）开展集中征缴工作。主要通过村居代办人员（裕农通、银联二维码）集中缴纳城乡居民基本养老和基本医疗保险费。</w:t>
      </w:r>
      <w:r>
        <w:rPr>
          <w:rFonts w:hint="eastAsia" w:ascii="仿宋_GB2312" w:hAnsi="仿宋_GB2312" w:eastAsia="仿宋_GB2312" w:cs="仿宋_GB2312"/>
          <w:b w:val="0"/>
          <w:bCs/>
          <w:color w:val="000000"/>
          <w:sz w:val="32"/>
          <w:szCs w:val="32"/>
        </w:rPr>
        <w:t>也可帮助缴费人通过</w:t>
      </w:r>
      <w:r>
        <w:rPr>
          <w:rFonts w:hint="eastAsia" w:ascii="仿宋_GB2312" w:hAnsi="仿宋_GB2312" w:eastAsia="仿宋_GB2312" w:cs="仿宋_GB2312"/>
          <w:b w:val="0"/>
          <w:bCs/>
          <w:sz w:val="32"/>
          <w:szCs w:val="32"/>
        </w:rPr>
        <w:t>电子税务局、微信、支付宝、爱山东App等</w:t>
      </w:r>
      <w:r>
        <w:rPr>
          <w:rFonts w:hint="eastAsia" w:ascii="仿宋_GB2312" w:hAnsi="仿宋_GB2312" w:eastAsia="仿宋_GB2312" w:cs="仿宋_GB2312"/>
          <w:b w:val="0"/>
          <w:bCs/>
          <w:color w:val="000000"/>
          <w:sz w:val="32"/>
          <w:szCs w:val="32"/>
        </w:rPr>
        <w:t>税务机关提供的多元化缴费方式自行选择缴费。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个人自行申报缴费</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在集中征缴期限内，对于个人不通过委托代办形式缴费的，可以通过</w:t>
      </w:r>
      <w:r>
        <w:rPr>
          <w:rFonts w:hint="eastAsia" w:ascii="仿宋_GB2312" w:hAnsi="仿宋_GB2312" w:eastAsia="仿宋_GB2312" w:cs="仿宋_GB2312"/>
          <w:sz w:val="32"/>
          <w:szCs w:val="32"/>
        </w:rPr>
        <w:t>电子税务局、微信、支付宝、爱山东App、银行等</w:t>
      </w:r>
      <w:r>
        <w:rPr>
          <w:rFonts w:hint="eastAsia" w:ascii="仿宋_GB2312" w:hAnsi="仿宋_GB2312" w:eastAsia="仿宋_GB2312" w:cs="仿宋_GB2312"/>
          <w:color w:val="000000"/>
          <w:sz w:val="32"/>
          <w:szCs w:val="32"/>
        </w:rPr>
        <w:t>税务机关提供的多元化缴费方式自行选择缴费。</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特殊人群和特殊情形缴费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特殊人群缴费，是指符合政府代缴社保费条件的低保、残疾、特困等人群，由相关职能部门统一集中缴费；特殊情形缴费，是指政策性补缴、中断补缴、集中征缴期外补缴等缴费业务。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（四）参保缴费流程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val="en-US" w:eastAsia="zh-CN"/>
        </w:rPr>
        <w:t>.</w:t>
      </w:r>
      <w:r>
        <w:rPr>
          <w:rFonts w:hint="eastAsia" w:ascii="仿宋_GB2312" w:hAnsi="仿宋_GB2312" w:eastAsia="仿宋_GB2312" w:cs="仿宋_GB2312"/>
          <w:b/>
          <w:bCs/>
          <w:color w:val="000000"/>
          <w:sz w:val="32"/>
          <w:szCs w:val="32"/>
        </w:rPr>
        <w:t>参保登记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未办理参保登记或者登记信息发生变化的缴费人，需要本人或通过代办人员凭相关手续到人社、医保部门办理登记、变更手续。人社、医保部门根据各自职责，分别负责城乡居民两险的参保信息维护登记，并将人员身份、人员信息变更、起止缴费年月等相关信息通过共享平台传递税务部门；同时负责特殊群体身份信息的筛选、维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color w:val="000000"/>
          <w:sz w:val="32"/>
          <w:szCs w:val="32"/>
        </w:rPr>
      </w:pPr>
      <w:r>
        <w:rPr>
          <w:rFonts w:hint="default" w:ascii="仿宋_GB2312" w:hAnsi="仿宋_GB2312" w:eastAsia="仿宋_GB2312" w:cs="仿宋_GB2312"/>
          <w:b/>
          <w:bCs/>
          <w:color w:val="000000"/>
          <w:sz w:val="32"/>
          <w:szCs w:val="32"/>
          <w:lang w:val="en-US" w:eastAsia="zh-CN"/>
        </w:rPr>
        <w:t>2.</w:t>
      </w:r>
      <w:r>
        <w:rPr>
          <w:rFonts w:hint="default" w:ascii="仿宋_GB2312" w:hAnsi="仿宋_GB2312" w:eastAsia="仿宋_GB2312" w:cs="仿宋_GB2312"/>
          <w:b/>
          <w:bCs/>
          <w:color w:val="000000"/>
          <w:sz w:val="32"/>
          <w:szCs w:val="32"/>
        </w:rPr>
        <w:t>信息关联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税务部门利用</w:t>
      </w:r>
      <w:r>
        <w:rPr>
          <w:rFonts w:hint="eastAsia" w:ascii="仿宋_GB2312" w:hAnsi="仿宋_GB2312" w:eastAsia="仿宋_GB2312" w:cs="仿宋_GB2312"/>
          <w:color w:val="000000"/>
          <w:sz w:val="32"/>
          <w:szCs w:val="32"/>
        </w:rPr>
        <w:t>“金三”</w:t>
      </w:r>
      <w:r>
        <w:rPr>
          <w:rFonts w:hint="default" w:ascii="Times New Roman" w:hAnsi="Times New Roman" w:eastAsia="仿宋_GB2312" w:cs="Times New Roman"/>
          <w:color w:val="000000"/>
          <w:sz w:val="32"/>
          <w:szCs w:val="32"/>
        </w:rPr>
        <w:t>系统自动调用来自人社、医保部门传递的城乡居民两险的参保登记信息，完成自然人信息采集和参保登记信息关联。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color w:val="000000"/>
          <w:sz w:val="32"/>
          <w:szCs w:val="32"/>
        </w:rPr>
      </w:pPr>
      <w:r>
        <w:rPr>
          <w:rFonts w:hint="default" w:ascii="仿宋_GB2312" w:hAnsi="仿宋_GB2312" w:eastAsia="仿宋_GB2312" w:cs="仿宋_GB2312"/>
          <w:b/>
          <w:bCs/>
          <w:color w:val="000000"/>
          <w:sz w:val="32"/>
          <w:szCs w:val="32"/>
        </w:rPr>
        <w:t>3</w:t>
      </w:r>
      <w:r>
        <w:rPr>
          <w:rFonts w:hint="default" w:ascii="仿宋_GB2312" w:hAnsi="仿宋_GB2312" w:eastAsia="仿宋_GB2312" w:cs="仿宋_GB2312"/>
          <w:b/>
          <w:bCs/>
          <w:color w:val="000000"/>
          <w:sz w:val="32"/>
          <w:szCs w:val="32"/>
          <w:lang w:val="en-US" w:eastAsia="zh-CN"/>
        </w:rPr>
        <w:t>.</w:t>
      </w:r>
      <w:r>
        <w:rPr>
          <w:rFonts w:hint="default" w:ascii="仿宋_GB2312" w:hAnsi="仿宋_GB2312" w:eastAsia="仿宋_GB2312" w:cs="仿宋_GB2312"/>
          <w:b/>
          <w:bCs/>
          <w:color w:val="000000"/>
          <w:sz w:val="32"/>
          <w:szCs w:val="32"/>
        </w:rPr>
        <w:t>下发清册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税务部门根据</w:t>
      </w:r>
      <w:r>
        <w:rPr>
          <w:rFonts w:hint="eastAsia" w:ascii="仿宋_GB2312" w:hAnsi="仿宋_GB2312" w:eastAsia="仿宋_GB2312" w:cs="仿宋_GB2312"/>
          <w:color w:val="000000"/>
          <w:sz w:val="32"/>
          <w:szCs w:val="32"/>
        </w:rPr>
        <w:t>“金三”</w:t>
      </w:r>
      <w:r>
        <w:rPr>
          <w:rFonts w:hint="default" w:ascii="Times New Roman" w:hAnsi="Times New Roman" w:eastAsia="仿宋_GB2312" w:cs="Times New Roman"/>
          <w:color w:val="000000"/>
          <w:sz w:val="32"/>
          <w:szCs w:val="32"/>
        </w:rPr>
        <w:t>系统历史缴费记录，生成缴费信息清册，作为基层税务分局</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所</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和</w:t>
      </w:r>
      <w:r>
        <w:rPr>
          <w:rFonts w:hint="eastAsia" w:ascii="Times New Roman" w:hAnsi="Times New Roman" w:eastAsia="仿宋_GB2312" w:cs="Times New Roman"/>
          <w:color w:val="000000"/>
          <w:sz w:val="32"/>
          <w:szCs w:val="32"/>
          <w:lang w:eastAsia="zh-CN"/>
        </w:rPr>
        <w:t>镇（街）</w:t>
      </w:r>
      <w:r>
        <w:rPr>
          <w:rFonts w:hint="default" w:ascii="Times New Roman" w:hAnsi="Times New Roman" w:eastAsia="仿宋_GB2312" w:cs="Times New Roman"/>
          <w:color w:val="auto"/>
          <w:sz w:val="32"/>
          <w:szCs w:val="32"/>
        </w:rPr>
        <w:t>人社、医保</w:t>
      </w:r>
      <w:r>
        <w:rPr>
          <w:rFonts w:hint="eastAsia" w:ascii="Times New Roman" w:hAnsi="Times New Roman" w:eastAsia="仿宋_GB2312" w:cs="Times New Roman"/>
          <w:color w:val="auto"/>
          <w:sz w:val="32"/>
          <w:szCs w:val="32"/>
          <w:lang w:eastAsia="zh-CN"/>
        </w:rPr>
        <w:t>部门</w:t>
      </w:r>
      <w:r>
        <w:rPr>
          <w:rFonts w:hint="default" w:ascii="Times New Roman" w:hAnsi="Times New Roman" w:eastAsia="仿宋_GB2312" w:cs="Times New Roman"/>
          <w:color w:val="000000"/>
          <w:sz w:val="32"/>
          <w:szCs w:val="32"/>
        </w:rPr>
        <w:t>对所辖行政区划内居民本年度缴费参照依据。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color w:val="000000"/>
          <w:sz w:val="32"/>
          <w:szCs w:val="32"/>
        </w:rPr>
      </w:pPr>
      <w:r>
        <w:rPr>
          <w:rFonts w:hint="default" w:ascii="仿宋_GB2312" w:hAnsi="仿宋_GB2312" w:eastAsia="仿宋_GB2312" w:cs="仿宋_GB2312"/>
          <w:b/>
          <w:bCs/>
          <w:color w:val="000000"/>
          <w:sz w:val="32"/>
          <w:szCs w:val="32"/>
        </w:rPr>
        <w:t>4</w:t>
      </w:r>
      <w:r>
        <w:rPr>
          <w:rFonts w:hint="default" w:ascii="仿宋_GB2312" w:hAnsi="仿宋_GB2312" w:eastAsia="仿宋_GB2312" w:cs="仿宋_GB2312"/>
          <w:b/>
          <w:bCs/>
          <w:color w:val="000000"/>
          <w:sz w:val="32"/>
          <w:szCs w:val="32"/>
          <w:lang w:val="en-US" w:eastAsia="zh-CN"/>
        </w:rPr>
        <w:t>.</w:t>
      </w:r>
      <w:r>
        <w:rPr>
          <w:rFonts w:hint="default" w:ascii="仿宋_GB2312" w:hAnsi="仿宋_GB2312" w:eastAsia="仿宋_GB2312" w:cs="仿宋_GB2312"/>
          <w:b/>
          <w:bCs/>
          <w:color w:val="000000"/>
          <w:sz w:val="32"/>
          <w:szCs w:val="32"/>
        </w:rPr>
        <w:t>社保费征缴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各委托代收单位代办员参照清册，在规定的集中征收期内进行收费。使用建行</w:t>
      </w:r>
      <w:r>
        <w:rPr>
          <w:rFonts w:hint="eastAsia" w:ascii="仿宋_GB2312" w:hAnsi="仿宋_GB2312" w:eastAsia="仿宋_GB2312" w:cs="仿宋_GB2312"/>
          <w:color w:val="000000"/>
          <w:sz w:val="32"/>
          <w:szCs w:val="32"/>
        </w:rPr>
        <w:t>移动</w:t>
      </w:r>
      <w:r>
        <w:rPr>
          <w:rFonts w:hint="eastAsia" w:ascii="仿宋_GB2312" w:hAnsi="仿宋_GB2312" w:eastAsia="仿宋_GB2312" w:cs="仿宋_GB2312"/>
          <w:color w:val="000000"/>
          <w:sz w:val="32"/>
          <w:szCs w:val="32"/>
          <w:lang w:eastAsia="zh-CN"/>
        </w:rPr>
        <w:t>POS</w:t>
      </w:r>
      <w:r>
        <w:rPr>
          <w:rFonts w:hint="eastAsia" w:ascii="仿宋_GB2312" w:hAnsi="仿宋_GB2312" w:eastAsia="仿宋_GB2312" w:cs="仿宋_GB2312"/>
          <w:color w:val="000000"/>
          <w:sz w:val="32"/>
          <w:szCs w:val="32"/>
        </w:rPr>
        <w:t>机缴费的</w:t>
      </w:r>
      <w:r>
        <w:rPr>
          <w:rFonts w:hint="default" w:ascii="Times New Roman" w:hAnsi="Times New Roman" w:eastAsia="仿宋_GB2312" w:cs="Times New Roman"/>
          <w:color w:val="000000"/>
          <w:sz w:val="32"/>
          <w:szCs w:val="32"/>
        </w:rPr>
        <w:t>，应根据操作步骤规范操作。</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2"/>
          <w:sz w:val="32"/>
          <w:szCs w:val="32"/>
          <w:lang w:val="en-US" w:eastAsia="zh-CN" w:bidi="ar-SA"/>
        </w:rPr>
        <w:t>提倡优先使用微信、支付宝、电子税务局、银联二维码等方式自行申报缴费。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kern w:val="30"/>
          <w:sz w:val="32"/>
          <w:szCs w:val="32"/>
        </w:rPr>
      </w:pPr>
      <w:r>
        <w:rPr>
          <w:rFonts w:hint="default" w:ascii="Times New Roman" w:hAnsi="Times New Roman" w:eastAsia="黑体" w:cs="Times New Roman"/>
          <w:color w:val="000000"/>
          <w:kern w:val="30"/>
          <w:sz w:val="32"/>
          <w:szCs w:val="32"/>
        </w:rPr>
        <w:t>六、工作分工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val="0"/>
          <w:bCs/>
          <w:color w:val="000000"/>
          <w:sz w:val="32"/>
          <w:szCs w:val="32"/>
        </w:rPr>
      </w:pPr>
      <w:r>
        <w:rPr>
          <w:rFonts w:hint="eastAsia" w:ascii="楷体_GB2312" w:hAnsi="楷体_GB2312" w:eastAsia="楷体_GB2312" w:cs="楷体_GB2312"/>
          <w:b w:val="0"/>
          <w:bCs/>
          <w:color w:val="000000"/>
          <w:sz w:val="32"/>
          <w:szCs w:val="32"/>
          <w:lang w:eastAsia="zh-CN"/>
        </w:rPr>
        <w:t>（</w:t>
      </w:r>
      <w:r>
        <w:rPr>
          <w:rFonts w:hint="eastAsia" w:ascii="楷体_GB2312" w:hAnsi="楷体_GB2312" w:eastAsia="楷体_GB2312" w:cs="楷体_GB2312"/>
          <w:b w:val="0"/>
          <w:bCs/>
          <w:color w:val="000000"/>
          <w:sz w:val="32"/>
          <w:szCs w:val="32"/>
        </w:rPr>
        <w:t>一</w:t>
      </w:r>
      <w:r>
        <w:rPr>
          <w:rFonts w:hint="eastAsia" w:ascii="楷体_GB2312" w:hAnsi="楷体_GB2312" w:eastAsia="楷体_GB2312" w:cs="楷体_GB2312"/>
          <w:b w:val="0"/>
          <w:bCs/>
          <w:color w:val="000000"/>
          <w:sz w:val="32"/>
          <w:szCs w:val="32"/>
          <w:lang w:eastAsia="zh-CN"/>
        </w:rPr>
        <w:t>）</w:t>
      </w:r>
      <w:r>
        <w:rPr>
          <w:rFonts w:hint="eastAsia" w:ascii="楷体_GB2312" w:hAnsi="楷体_GB2312" w:eastAsia="楷体_GB2312" w:cs="楷体_GB2312"/>
          <w:b w:val="0"/>
          <w:bCs/>
          <w:color w:val="000000"/>
          <w:sz w:val="32"/>
          <w:szCs w:val="32"/>
        </w:rPr>
        <w:t>镇（街）政府（办事处）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根据区政府的统一部署，制定下发辖区城乡居民两险征缴工作实施方案；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成立辖区城乡居民两险征缴领导小组，负责组织征缴工作，召开动员会，统筹推进集中征缴工作；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负责辖区城乡居民两险征缴政策的宣传；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负责辖区城乡居民两险征缴工作的督导及考核。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集中缴费期完成后根据税务部门提供的缴费清册，各镇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安排村居及时将清册在各村居进行公示，接受缴费人监督。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lang w:eastAsia="zh-CN"/>
        </w:rPr>
        <w:t>（</w:t>
      </w:r>
      <w:r>
        <w:rPr>
          <w:rFonts w:hint="eastAsia" w:ascii="楷体_GB2312" w:hAnsi="楷体_GB2312" w:eastAsia="楷体_GB2312" w:cs="楷体_GB2312"/>
          <w:b w:val="0"/>
          <w:bCs/>
          <w:color w:val="000000"/>
          <w:sz w:val="32"/>
          <w:szCs w:val="32"/>
        </w:rPr>
        <w:t>二</w:t>
      </w:r>
      <w:r>
        <w:rPr>
          <w:rFonts w:hint="eastAsia" w:ascii="楷体_GB2312" w:hAnsi="楷体_GB2312" w:eastAsia="楷体_GB2312" w:cs="楷体_GB2312"/>
          <w:b w:val="0"/>
          <w:bCs/>
          <w:color w:val="000000"/>
          <w:sz w:val="32"/>
          <w:szCs w:val="32"/>
          <w:lang w:eastAsia="zh-CN"/>
        </w:rPr>
        <w:t>）</w:t>
      </w:r>
      <w:r>
        <w:rPr>
          <w:rFonts w:hint="eastAsia" w:ascii="楷体_GB2312" w:hAnsi="楷体_GB2312" w:eastAsia="楷体_GB2312" w:cs="楷体_GB2312"/>
          <w:b w:val="0"/>
          <w:bCs/>
          <w:color w:val="000000"/>
          <w:sz w:val="32"/>
          <w:szCs w:val="32"/>
        </w:rPr>
        <w:t>区人社局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负责城乡居民基本养老保险的政策宣传等工作；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负责城乡居民基本养老保险的参保登记、变更注销和信息维护；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负责城乡居民基本养老保险参保人员的信息传递工作；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负责城乡居民基本养老保险特殊群体身份相关信息的筛选和维护；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负责政策性补缴、中断补缴等业务的核定工作；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6.做好退费相关工作；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7.提供城乡居民基本养老保险查询业务。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lang w:eastAsia="zh-CN"/>
        </w:rPr>
        <w:t>（</w:t>
      </w:r>
      <w:r>
        <w:rPr>
          <w:rFonts w:hint="eastAsia" w:ascii="楷体_GB2312" w:hAnsi="楷体_GB2312" w:eastAsia="楷体_GB2312" w:cs="楷体_GB2312"/>
          <w:b w:val="0"/>
          <w:bCs/>
          <w:color w:val="000000"/>
          <w:sz w:val="32"/>
          <w:szCs w:val="32"/>
        </w:rPr>
        <w:t>三</w:t>
      </w:r>
      <w:r>
        <w:rPr>
          <w:rFonts w:hint="eastAsia" w:ascii="楷体_GB2312" w:hAnsi="楷体_GB2312" w:eastAsia="楷体_GB2312" w:cs="楷体_GB2312"/>
          <w:b w:val="0"/>
          <w:bCs/>
          <w:color w:val="000000"/>
          <w:sz w:val="32"/>
          <w:szCs w:val="32"/>
          <w:lang w:eastAsia="zh-CN"/>
        </w:rPr>
        <w:t>）</w:t>
      </w:r>
      <w:r>
        <w:rPr>
          <w:rFonts w:hint="eastAsia" w:ascii="楷体_GB2312" w:hAnsi="楷体_GB2312" w:eastAsia="楷体_GB2312" w:cs="楷体_GB2312"/>
          <w:b w:val="0"/>
          <w:bCs/>
          <w:color w:val="000000"/>
          <w:sz w:val="32"/>
          <w:szCs w:val="32"/>
        </w:rPr>
        <w:t>区医保局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负责城乡居民基本医疗保险的政策宣传等工作；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负责城乡居民基本医疗保险的参保登记、变更注销和信息维护；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负责城乡居民基本医疗保险参保人员信息的传递工作；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负责城乡居民基本医疗保险特殊群体身份相关信息的维护、传递；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负责政策性补缴、中断补缴、新生儿缴费等业务的核定工作；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做好退费相关工作；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提供城乡居民基本医疗保险查询业务。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lang w:eastAsia="zh-CN"/>
        </w:rPr>
        <w:t>（</w:t>
      </w:r>
      <w:r>
        <w:rPr>
          <w:rFonts w:hint="eastAsia" w:ascii="楷体_GB2312" w:hAnsi="楷体_GB2312" w:eastAsia="楷体_GB2312" w:cs="楷体_GB2312"/>
          <w:b w:val="0"/>
          <w:bCs/>
          <w:color w:val="000000"/>
          <w:sz w:val="32"/>
          <w:szCs w:val="32"/>
        </w:rPr>
        <w:t>四</w:t>
      </w:r>
      <w:r>
        <w:rPr>
          <w:rFonts w:hint="eastAsia" w:ascii="楷体_GB2312" w:hAnsi="楷体_GB2312" w:eastAsia="楷体_GB2312" w:cs="楷体_GB2312"/>
          <w:b w:val="0"/>
          <w:bCs/>
          <w:color w:val="000000"/>
          <w:sz w:val="32"/>
          <w:szCs w:val="32"/>
          <w:lang w:eastAsia="zh-CN"/>
        </w:rPr>
        <w:t>）</w:t>
      </w:r>
      <w:r>
        <w:rPr>
          <w:rFonts w:hint="eastAsia" w:ascii="楷体_GB2312" w:hAnsi="楷体_GB2312" w:eastAsia="楷体_GB2312" w:cs="楷体_GB2312"/>
          <w:b w:val="0"/>
          <w:bCs/>
          <w:color w:val="000000"/>
          <w:sz w:val="32"/>
          <w:szCs w:val="32"/>
        </w:rPr>
        <w:t>区税务局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做好征收宣传工作；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负责城乡居民两险申报受理、费款征收、退费受理等工作；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根据人社、医保部门传递的城乡居民缴费信息，形成征收清册，并通过镇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下发到代收单位；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协同委托代收费款的核对和申报入库工作；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负责回传人社、医保等部门征收信息；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按照职责开具相应缴费凭证和证明，并提供城乡居民两险查询业务；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协调人社、医保、银行部门开展代办员征缴业务培训；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持续优化服务，拓展多元化缴费渠道，提高征缴效率。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lang w:eastAsia="zh-CN"/>
        </w:rPr>
        <w:t>（</w:t>
      </w:r>
      <w:r>
        <w:rPr>
          <w:rFonts w:hint="eastAsia" w:ascii="楷体_GB2312" w:hAnsi="楷体_GB2312" w:eastAsia="楷体_GB2312" w:cs="楷体_GB2312"/>
          <w:b w:val="0"/>
          <w:bCs/>
          <w:color w:val="000000"/>
          <w:sz w:val="32"/>
          <w:szCs w:val="32"/>
        </w:rPr>
        <w:t>五</w:t>
      </w:r>
      <w:r>
        <w:rPr>
          <w:rFonts w:hint="eastAsia" w:ascii="楷体_GB2312" w:hAnsi="楷体_GB2312" w:eastAsia="楷体_GB2312" w:cs="楷体_GB2312"/>
          <w:b w:val="0"/>
          <w:bCs/>
          <w:color w:val="000000"/>
          <w:sz w:val="32"/>
          <w:szCs w:val="32"/>
          <w:lang w:eastAsia="zh-CN"/>
        </w:rPr>
        <w:t>）</w:t>
      </w:r>
      <w:r>
        <w:rPr>
          <w:rFonts w:hint="eastAsia" w:ascii="楷体_GB2312" w:hAnsi="楷体_GB2312" w:eastAsia="楷体_GB2312" w:cs="楷体_GB2312"/>
          <w:b w:val="0"/>
          <w:bCs/>
          <w:color w:val="000000"/>
          <w:sz w:val="32"/>
          <w:szCs w:val="32"/>
        </w:rPr>
        <w:t>区财政局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负责将城乡居民两险政府代缴补助资金列入财政预算，按时足额拨付到位；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确保城乡居民两险专项经费和工作经费及时到位；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协助税务部门做好社保费征缴等工作；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做好退费相关工作。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lang w:eastAsia="zh-CN"/>
        </w:rPr>
        <w:t>（</w:t>
      </w:r>
      <w:r>
        <w:rPr>
          <w:rFonts w:hint="eastAsia" w:ascii="楷体_GB2312" w:hAnsi="楷体_GB2312" w:eastAsia="楷体_GB2312" w:cs="楷体_GB2312"/>
          <w:b w:val="0"/>
          <w:bCs/>
          <w:color w:val="000000"/>
          <w:sz w:val="32"/>
          <w:szCs w:val="32"/>
        </w:rPr>
        <w:t>六</w:t>
      </w:r>
      <w:r>
        <w:rPr>
          <w:rFonts w:hint="eastAsia" w:ascii="楷体_GB2312" w:hAnsi="楷体_GB2312" w:eastAsia="楷体_GB2312" w:cs="楷体_GB2312"/>
          <w:b w:val="0"/>
          <w:bCs/>
          <w:color w:val="000000"/>
          <w:sz w:val="32"/>
          <w:szCs w:val="32"/>
          <w:lang w:eastAsia="zh-CN"/>
        </w:rPr>
        <w:t>）</w:t>
      </w:r>
      <w:r>
        <w:rPr>
          <w:rFonts w:hint="eastAsia" w:ascii="楷体_GB2312" w:hAnsi="楷体_GB2312" w:eastAsia="楷体_GB2312" w:cs="楷体_GB2312"/>
          <w:b w:val="0"/>
          <w:bCs/>
          <w:color w:val="000000"/>
          <w:sz w:val="32"/>
          <w:szCs w:val="32"/>
        </w:rPr>
        <w:t>区民政</w:t>
      </w:r>
      <w:r>
        <w:rPr>
          <w:rFonts w:hint="eastAsia" w:ascii="楷体_GB2312" w:hAnsi="楷体_GB2312" w:eastAsia="楷体_GB2312" w:cs="楷体_GB2312"/>
          <w:b w:val="0"/>
          <w:bCs/>
          <w:color w:val="000000"/>
          <w:sz w:val="32"/>
          <w:szCs w:val="32"/>
          <w:lang w:eastAsia="zh-CN"/>
        </w:rPr>
        <w:t>局</w:t>
      </w:r>
      <w:r>
        <w:rPr>
          <w:rFonts w:hint="eastAsia" w:ascii="楷体_GB2312" w:hAnsi="楷体_GB2312" w:eastAsia="楷体_GB2312" w:cs="楷体_GB2312"/>
          <w:b w:val="0"/>
          <w:bCs/>
          <w:color w:val="000000"/>
          <w:sz w:val="32"/>
          <w:szCs w:val="32"/>
        </w:rPr>
        <w:t>、区残联、区卫</w:t>
      </w:r>
      <w:r>
        <w:rPr>
          <w:rFonts w:hint="eastAsia" w:ascii="楷体_GB2312" w:hAnsi="楷体_GB2312" w:eastAsia="楷体_GB2312" w:cs="楷体_GB2312"/>
          <w:b w:val="0"/>
          <w:bCs/>
          <w:color w:val="000000"/>
          <w:sz w:val="32"/>
          <w:szCs w:val="32"/>
          <w:lang w:val="en-US" w:eastAsia="zh-CN"/>
        </w:rPr>
        <w:t>健</w:t>
      </w:r>
      <w:r>
        <w:rPr>
          <w:rFonts w:hint="eastAsia" w:ascii="楷体_GB2312" w:hAnsi="楷体_GB2312" w:eastAsia="楷体_GB2312" w:cs="楷体_GB2312"/>
          <w:b w:val="0"/>
          <w:bCs/>
          <w:color w:val="000000"/>
          <w:sz w:val="32"/>
          <w:szCs w:val="32"/>
        </w:rPr>
        <w:t>局、区乡村振兴局、区退役军人事务局等部门</w:t>
      </w:r>
    </w:p>
    <w:p>
      <w:pPr>
        <w:pStyle w:val="15"/>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负责核实各类资助人员和代缴人员详细信息，做好资格确认工作，避免基本保险重复缴费和死亡后缴费，并及时上报财政局相关部门；10月31日前将资助人员基本信息电子版和纸质版（加盖公章）发至各镇（街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；经验证后人员名单报送区人社、医保局，各单位按照相关信息在本系统中相应人员做好标记。同时区、镇（街）公安、民政部门每月5日前将死亡人员信息通报到同级人社、医保部门。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lang w:eastAsia="zh-CN"/>
        </w:rPr>
        <w:t>（</w:t>
      </w:r>
      <w:r>
        <w:rPr>
          <w:rFonts w:hint="eastAsia" w:ascii="楷体_GB2312" w:hAnsi="楷体_GB2312" w:eastAsia="楷体_GB2312" w:cs="楷体_GB2312"/>
          <w:b w:val="0"/>
          <w:bCs/>
          <w:color w:val="000000"/>
          <w:sz w:val="32"/>
          <w:szCs w:val="32"/>
        </w:rPr>
        <w:t>七</w:t>
      </w:r>
      <w:r>
        <w:rPr>
          <w:rFonts w:hint="eastAsia" w:ascii="楷体_GB2312" w:hAnsi="楷体_GB2312" w:eastAsia="楷体_GB2312" w:cs="楷体_GB2312"/>
          <w:b w:val="0"/>
          <w:bCs/>
          <w:color w:val="000000"/>
          <w:sz w:val="32"/>
          <w:szCs w:val="32"/>
          <w:lang w:eastAsia="zh-CN"/>
        </w:rPr>
        <w:t>）</w:t>
      </w:r>
      <w:r>
        <w:rPr>
          <w:rFonts w:hint="eastAsia" w:ascii="楷体_GB2312" w:hAnsi="楷体_GB2312" w:eastAsia="楷体_GB2312" w:cs="楷体_GB2312"/>
          <w:b w:val="0"/>
          <w:bCs/>
          <w:color w:val="000000"/>
          <w:sz w:val="32"/>
          <w:szCs w:val="32"/>
        </w:rPr>
        <w:t>区融媒体中心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负责做好居民养老、医疗“集中征缴”宣传工作，定期播放《山亭区202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年度城乡居民基本养老、基本医疗保险征缴工作实施方案》和政策问答等宣传事项。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（八）区公安</w:t>
      </w:r>
      <w:r>
        <w:rPr>
          <w:rFonts w:hint="eastAsia" w:ascii="楷体_GB2312" w:hAnsi="楷体_GB2312" w:eastAsia="楷体_GB2312" w:cs="楷体_GB2312"/>
          <w:b w:val="0"/>
          <w:bCs/>
          <w:color w:val="000000"/>
          <w:sz w:val="32"/>
          <w:szCs w:val="32"/>
          <w:lang w:val="en-US" w:eastAsia="zh-CN"/>
        </w:rPr>
        <w:t>分</w:t>
      </w:r>
      <w:r>
        <w:rPr>
          <w:rFonts w:hint="eastAsia" w:ascii="楷体_GB2312" w:hAnsi="楷体_GB2312" w:eastAsia="楷体_GB2312" w:cs="楷体_GB2312"/>
          <w:b w:val="0"/>
          <w:bCs/>
          <w:color w:val="000000"/>
          <w:sz w:val="32"/>
          <w:szCs w:val="32"/>
        </w:rPr>
        <w:t>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负责提供户籍信息、死亡、销户人员信息。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lang w:eastAsia="zh-CN"/>
        </w:rPr>
        <w:t>（</w:t>
      </w:r>
      <w:r>
        <w:rPr>
          <w:rFonts w:hint="eastAsia" w:ascii="楷体_GB2312" w:hAnsi="楷体_GB2312" w:eastAsia="楷体_GB2312" w:cs="楷体_GB2312"/>
          <w:b w:val="0"/>
          <w:bCs/>
          <w:color w:val="000000"/>
          <w:sz w:val="32"/>
          <w:szCs w:val="32"/>
        </w:rPr>
        <w:t>九</w:t>
      </w:r>
      <w:r>
        <w:rPr>
          <w:rFonts w:hint="eastAsia" w:ascii="楷体_GB2312" w:hAnsi="楷体_GB2312" w:eastAsia="楷体_GB2312" w:cs="楷体_GB2312"/>
          <w:b w:val="0"/>
          <w:bCs/>
          <w:color w:val="000000"/>
          <w:sz w:val="32"/>
          <w:szCs w:val="32"/>
          <w:lang w:eastAsia="zh-CN"/>
        </w:rPr>
        <w:t>）</w:t>
      </w:r>
      <w:r>
        <w:rPr>
          <w:rFonts w:hint="eastAsia" w:ascii="楷体_GB2312" w:hAnsi="楷体_GB2312" w:eastAsia="楷体_GB2312" w:cs="楷体_GB2312"/>
          <w:b w:val="0"/>
          <w:bCs/>
          <w:color w:val="000000"/>
          <w:sz w:val="32"/>
          <w:szCs w:val="32"/>
        </w:rPr>
        <w:t>区审计局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Times New Roman" w:cs="Times New Roman"/>
          <w:color w:val="000000"/>
          <w:sz w:val="32"/>
          <w:szCs w:val="32"/>
        </w:rPr>
      </w:pPr>
      <w:r>
        <w:rPr>
          <w:rFonts w:hint="default" w:ascii="Times New Roman" w:hAnsi="Times New Roman" w:eastAsia="仿宋_GB2312" w:cs="Times New Roman"/>
          <w:color w:val="000000"/>
          <w:sz w:val="32"/>
          <w:szCs w:val="32"/>
        </w:rPr>
        <w:t>负责监督社会保险费征缴全程，严查截留、挪用社保金、超标准收费等违规违法现象。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val="en-US" w:eastAsia="zh-CN"/>
        </w:rPr>
        <w:t>七</w:t>
      </w:r>
      <w:r>
        <w:rPr>
          <w:rFonts w:hint="default" w:ascii="Times New Roman" w:hAnsi="Times New Roman" w:eastAsia="黑体" w:cs="Times New Roman"/>
          <w:color w:val="000000"/>
          <w:sz w:val="32"/>
          <w:szCs w:val="32"/>
        </w:rPr>
        <w:t>、实施步骤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eastAsia" w:ascii="楷体_GB2312" w:hAnsi="楷体_GB2312" w:eastAsia="楷体_GB2312" w:cs="楷体_GB2312"/>
          <w:b w:val="0"/>
          <w:bCs/>
          <w:color w:val="000000"/>
          <w:sz w:val="32"/>
          <w:szCs w:val="32"/>
        </w:rPr>
        <w:t>（一）征缴准备阶段（10月1日</w:t>
      </w:r>
      <w:r>
        <w:rPr>
          <w:rFonts w:hint="eastAsia" w:ascii="楷体_GB2312" w:hAnsi="楷体_GB2312" w:eastAsia="楷体_GB2312" w:cs="楷体_GB2312"/>
          <w:b w:val="0"/>
          <w:bCs/>
          <w:color w:val="000000"/>
          <w:sz w:val="32"/>
          <w:szCs w:val="32"/>
          <w:lang w:val="en-US" w:eastAsia="zh-CN"/>
        </w:rPr>
        <w:t>—</w:t>
      </w:r>
      <w:r>
        <w:rPr>
          <w:rFonts w:hint="eastAsia" w:ascii="楷体_GB2312" w:hAnsi="楷体_GB2312" w:eastAsia="楷体_GB2312" w:cs="楷体_GB2312"/>
          <w:b w:val="0"/>
          <w:bCs/>
          <w:color w:val="000000"/>
          <w:sz w:val="32"/>
          <w:szCs w:val="32"/>
        </w:rPr>
        <w:t>10月15日）。</w:t>
      </w:r>
      <w:r>
        <w:rPr>
          <w:rFonts w:hint="default" w:ascii="Times New Roman" w:hAnsi="Times New Roman" w:eastAsia="仿宋_GB2312" w:cs="Times New Roman"/>
          <w:color w:val="000000"/>
          <w:sz w:val="32"/>
          <w:szCs w:val="32"/>
        </w:rPr>
        <w:t>召开山亭区居民养老、医疗保险集中征缴工作动员会议，安排部署居民养老、医疗保险集中征缴工作，动员广大群众，利用各种媒体，采取各种形式，大力宣传居民养老、医疗保险集中征缴政策和意义，营造浓厚的社会舆论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eastAsia" w:ascii="楷体_GB2312" w:hAnsi="楷体_GB2312" w:eastAsia="楷体_GB2312" w:cs="楷体_GB2312"/>
          <w:b w:val="0"/>
          <w:bCs/>
          <w:color w:val="000000"/>
          <w:sz w:val="32"/>
          <w:szCs w:val="32"/>
        </w:rPr>
        <w:t>（二）集中缴费阶段</w:t>
      </w:r>
      <w:r>
        <w:rPr>
          <w:rFonts w:hint="eastAsia" w:ascii="楷体_GB2312" w:hAnsi="楷体_GB2312" w:eastAsia="楷体_GB2312" w:cs="楷体_GB2312"/>
          <w:b w:val="0"/>
          <w:bCs/>
          <w:color w:val="000000"/>
          <w:sz w:val="32"/>
          <w:szCs w:val="32"/>
          <w:lang w:eastAsia="zh-CN"/>
        </w:rPr>
        <w:t>（</w:t>
      </w:r>
      <w:r>
        <w:rPr>
          <w:rFonts w:hint="eastAsia" w:ascii="楷体_GB2312" w:hAnsi="楷体_GB2312" w:eastAsia="楷体_GB2312" w:cs="楷体_GB2312"/>
          <w:b w:val="0"/>
          <w:bCs/>
          <w:color w:val="000000"/>
          <w:sz w:val="32"/>
          <w:szCs w:val="32"/>
        </w:rPr>
        <w:t>10月16日</w:t>
      </w:r>
      <w:r>
        <w:rPr>
          <w:rFonts w:hint="eastAsia" w:ascii="楷体_GB2312" w:hAnsi="楷体_GB2312" w:eastAsia="楷体_GB2312" w:cs="楷体_GB2312"/>
          <w:b w:val="0"/>
          <w:bCs/>
          <w:color w:val="000000"/>
          <w:sz w:val="32"/>
          <w:szCs w:val="32"/>
          <w:lang w:val="en-US" w:eastAsia="zh-CN"/>
        </w:rPr>
        <w:t>—</w:t>
      </w:r>
      <w:r>
        <w:rPr>
          <w:rFonts w:hint="eastAsia" w:ascii="楷体_GB2312" w:hAnsi="楷体_GB2312" w:eastAsia="楷体_GB2312" w:cs="楷体_GB2312"/>
          <w:b w:val="0"/>
          <w:bCs/>
          <w:color w:val="000000"/>
          <w:sz w:val="32"/>
          <w:szCs w:val="32"/>
        </w:rPr>
        <w:t>12月31日</w:t>
      </w:r>
      <w:r>
        <w:rPr>
          <w:rFonts w:hint="eastAsia" w:ascii="楷体_GB2312" w:hAnsi="楷体_GB2312" w:eastAsia="楷体_GB2312" w:cs="楷体_GB2312"/>
          <w:b w:val="0"/>
          <w:bCs/>
          <w:color w:val="000000"/>
          <w:sz w:val="32"/>
          <w:szCs w:val="32"/>
          <w:lang w:eastAsia="zh-CN"/>
        </w:rPr>
        <w:t>）</w:t>
      </w:r>
      <w:r>
        <w:rPr>
          <w:rFonts w:hint="eastAsia" w:ascii="楷体_GB2312" w:hAnsi="楷体_GB2312" w:eastAsia="楷体_GB2312" w:cs="楷体_GB2312"/>
          <w:b w:val="0"/>
          <w:bCs/>
          <w:color w:val="000000"/>
          <w:sz w:val="32"/>
          <w:szCs w:val="32"/>
        </w:rPr>
        <w:t>。</w:t>
      </w:r>
      <w:r>
        <w:rPr>
          <w:rFonts w:hint="default" w:ascii="Times New Roman" w:hAnsi="Times New Roman" w:eastAsia="仿宋_GB2312" w:cs="Times New Roman"/>
          <w:color w:val="000000"/>
          <w:sz w:val="32"/>
          <w:szCs w:val="32"/>
        </w:rPr>
        <w:t>全面开展居民养老、医疗保险参保登记和缴费工作，严禁通过个人存款账户归集居民个人缴费，严禁在征缴中出现垫资缴费、滞留资金和提供虚假信息等情况，做到钱表相符。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val="0"/>
          <w:bCs/>
          <w:color w:val="000000"/>
          <w:sz w:val="32"/>
          <w:szCs w:val="32"/>
        </w:rPr>
        <w:t>（三）公示阶段（集中征缴期后</w:t>
      </w:r>
      <w:r>
        <w:rPr>
          <w:rFonts w:hint="eastAsia" w:ascii="楷体_GB2312" w:hAnsi="楷体_GB2312" w:eastAsia="楷体_GB2312" w:cs="楷体_GB2312"/>
          <w:b w:val="0"/>
          <w:bCs/>
          <w:color w:val="000000"/>
          <w:sz w:val="32"/>
          <w:szCs w:val="32"/>
          <w:lang w:val="en-US" w:eastAsia="zh-CN"/>
        </w:rPr>
        <w:t>—</w:t>
      </w:r>
      <w:r>
        <w:rPr>
          <w:rFonts w:hint="eastAsia" w:ascii="楷体_GB2312" w:hAnsi="楷体_GB2312" w:eastAsia="楷体_GB2312" w:cs="楷体_GB2312"/>
          <w:b w:val="0"/>
          <w:bCs/>
          <w:color w:val="000000"/>
          <w:sz w:val="32"/>
          <w:szCs w:val="32"/>
        </w:rPr>
        <w:t>次年1月31日）。</w:t>
      </w:r>
      <w:r>
        <w:rPr>
          <w:rFonts w:hint="default" w:ascii="Times New Roman" w:hAnsi="Times New Roman" w:eastAsia="仿宋_GB2312" w:cs="Times New Roman"/>
          <w:sz w:val="32"/>
          <w:szCs w:val="32"/>
        </w:rPr>
        <w:t>集中征缴期结束后由税务部门提供缴费</w:t>
      </w:r>
      <w:r>
        <w:rPr>
          <w:rFonts w:hint="eastAsia" w:ascii="Times New Roman" w:hAnsi="Times New Roman" w:eastAsia="仿宋_GB2312" w:cs="Times New Roman"/>
          <w:sz w:val="32"/>
          <w:szCs w:val="32"/>
          <w:lang w:eastAsia="zh-CN"/>
        </w:rPr>
        <w:t>明细</w:t>
      </w:r>
      <w:r>
        <w:rPr>
          <w:rFonts w:hint="default" w:ascii="Times New Roman" w:hAnsi="Times New Roman" w:eastAsia="仿宋_GB2312" w:cs="Times New Roman"/>
          <w:sz w:val="32"/>
          <w:szCs w:val="32"/>
        </w:rPr>
        <w:t>清册，各镇（街）安排进行公示。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八</w:t>
      </w:r>
      <w:r>
        <w:rPr>
          <w:rFonts w:hint="eastAsia" w:ascii="黑体" w:hAnsi="黑体" w:eastAsia="黑体" w:cs="黑体"/>
          <w:color w:val="000000"/>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区各有关部门要围绕任务目标，按时间要求，制定工作方案，充分宣传发动，调动广大居民的参保积极性和主动性。各镇（街）要充分认识开展居民养老、医疗保险集中征缴工作的重大意义，切实加强组织领导。</w:t>
      </w:r>
      <w:r>
        <w:rPr>
          <w:rFonts w:hint="eastAsia" w:ascii="仿宋_GB2312" w:hAnsi="仿宋_GB2312" w:eastAsia="仿宋_GB2312" w:cs="仿宋_GB2312"/>
          <w:color w:val="000000"/>
          <w:sz w:val="32"/>
          <w:szCs w:val="32"/>
          <w:lang w:eastAsia="zh-CN"/>
        </w:rPr>
        <w:t>此项工作已列入政府对镇（街）考核项目，</w:t>
      </w:r>
      <w:r>
        <w:rPr>
          <w:rFonts w:hint="eastAsia" w:ascii="仿宋_GB2312" w:hAnsi="仿宋_GB2312" w:eastAsia="仿宋_GB2312" w:cs="仿宋_GB2312"/>
          <w:color w:val="000000"/>
          <w:sz w:val="32"/>
          <w:szCs w:val="32"/>
        </w:rPr>
        <w:t>区人社局、医保局、税务局要定期指导和督导各项征缴工作，掌握工作进展进度等情况，区政府将定期通报，确保圆满完成全区202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年度居民养老、医疗保险参保筹资任务。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pacing w:val="0"/>
          <w:sz w:val="32"/>
          <w:szCs w:val="32"/>
        </w:rPr>
        <w:t>1.山亭区202</w:t>
      </w:r>
      <w:r>
        <w:rPr>
          <w:rFonts w:hint="eastAsia" w:ascii="仿宋_GB2312" w:hAnsi="仿宋_GB2312" w:eastAsia="仿宋_GB2312" w:cs="仿宋_GB2312"/>
          <w:spacing w:val="0"/>
          <w:sz w:val="32"/>
          <w:szCs w:val="32"/>
          <w:lang w:val="en-US" w:eastAsia="zh-CN"/>
        </w:rPr>
        <w:t>4</w:t>
      </w:r>
      <w:r>
        <w:rPr>
          <w:rFonts w:hint="eastAsia" w:ascii="仿宋_GB2312" w:hAnsi="仿宋_GB2312" w:eastAsia="仿宋_GB2312" w:cs="仿宋_GB2312"/>
          <w:spacing w:val="0"/>
          <w:sz w:val="32"/>
          <w:szCs w:val="32"/>
        </w:rPr>
        <w:t>年度居民养老、医疗保险征缴工作领导小组</w:t>
      </w:r>
      <w:r>
        <w:rPr>
          <w:rFonts w:hint="eastAsia" w:ascii="仿宋_GB2312" w:hAnsi="仿宋_GB2312" w:eastAsia="仿宋_GB2312" w:cs="仿宋_GB2312"/>
          <w:spacing w:val="0"/>
          <w:sz w:val="32"/>
          <w:szCs w:val="32"/>
          <w:lang w:val="en-US" w:eastAsia="zh-CN"/>
        </w:rPr>
        <w:t>成员名单</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2.山亭区202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年度居民社会保险费征缴统计参照表</w:t>
      </w:r>
    </w:p>
    <w:p>
      <w:pPr>
        <w:keepNext w:val="0"/>
        <w:keepLines w:val="0"/>
        <w:pageBreakBefore w:val="0"/>
        <w:tabs>
          <w:tab w:val="left" w:pos="1275"/>
        </w:tabs>
        <w:kinsoku/>
        <w:wordWrap/>
        <w:overflowPunct/>
        <w:topLinePunct w:val="0"/>
        <w:autoSpaceDE/>
        <w:autoSpaceDN/>
        <w:bidi w:val="0"/>
        <w:adjustRightInd/>
        <w:snapToGrid/>
        <w:spacing w:line="560" w:lineRule="exact"/>
        <w:jc w:val="left"/>
        <w:textAlignment w:val="auto"/>
        <w:rPr>
          <w:rFonts w:eastAsia="Times New Roman" w:cs="Times New Roman"/>
          <w:sz w:val="32"/>
          <w:szCs w:val="32"/>
        </w:rPr>
        <w:sectPr>
          <w:footerReference r:id="rId3" w:type="default"/>
          <w:pgSz w:w="11906" w:h="16838"/>
          <w:pgMar w:top="2098" w:right="1474" w:bottom="1984" w:left="1587" w:header="851" w:footer="992" w:gutter="0"/>
          <w:pgNumType w:fmt="numberInDash"/>
          <w:cols w:space="720" w:num="1"/>
          <w:docGrid w:type="lines" w:linePitch="314" w:charSpace="0"/>
        </w:sectPr>
      </w:pPr>
    </w:p>
    <w:p>
      <w:pPr>
        <w:keepNext w:val="0"/>
        <w:keepLines w:val="0"/>
        <w:pageBreakBefore w:val="0"/>
        <w:widowControl w:val="0"/>
        <w:tabs>
          <w:tab w:val="left" w:pos="1275"/>
        </w:tabs>
        <w:kinsoku/>
        <w:wordWrap/>
        <w:overflowPunct/>
        <w:topLinePunct w:val="0"/>
        <w:autoSpaceDE/>
        <w:autoSpaceDN/>
        <w:bidi w:val="0"/>
        <w:adjustRightInd/>
        <w:snapToGrid/>
        <w:spacing w:line="560" w:lineRule="exact"/>
        <w:jc w:val="left"/>
        <w:textAlignment w:val="auto"/>
        <w:rPr>
          <w:rFonts w:hint="eastAsia"/>
        </w:rPr>
      </w:pPr>
      <w:r>
        <w:rPr>
          <w:rFonts w:hint="eastAsia" w:ascii="黑体" w:hAnsi="黑体" w:eastAsia="黑体" w:cs="黑体"/>
          <w:b w:val="0"/>
          <w:bCs w:val="0"/>
          <w:sz w:val="32"/>
          <w:szCs w:val="32"/>
        </w:rPr>
        <w:t>附件1</w:t>
      </w:r>
    </w:p>
    <w:p>
      <w:pPr>
        <w:keepNext w:val="0"/>
        <w:keepLines w:val="0"/>
        <w:pageBreakBefore w:val="0"/>
        <w:widowControl w:val="0"/>
        <w:tabs>
          <w:tab w:val="left" w:pos="1275"/>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100"/>
          <w:sz w:val="44"/>
          <w:szCs w:val="44"/>
        </w:rPr>
      </w:pPr>
    </w:p>
    <w:p>
      <w:pPr>
        <w:keepNext w:val="0"/>
        <w:keepLines w:val="0"/>
        <w:pageBreakBefore w:val="0"/>
        <w:widowControl w:val="0"/>
        <w:tabs>
          <w:tab w:val="left" w:pos="1275"/>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w w:val="100"/>
          <w:sz w:val="44"/>
          <w:szCs w:val="44"/>
        </w:rPr>
        <w:t>山亭区202</w:t>
      </w:r>
      <w:r>
        <w:rPr>
          <w:rFonts w:hint="eastAsia" w:ascii="方正小标宋简体" w:hAnsi="方正小标宋简体" w:eastAsia="方正小标宋简体" w:cs="方正小标宋简体"/>
          <w:w w:val="100"/>
          <w:sz w:val="44"/>
          <w:szCs w:val="44"/>
          <w:lang w:val="en-US" w:eastAsia="zh-CN"/>
        </w:rPr>
        <w:t>4</w:t>
      </w:r>
      <w:r>
        <w:rPr>
          <w:rFonts w:hint="eastAsia" w:ascii="方正小标宋简体" w:hAnsi="方正小标宋简体" w:eastAsia="方正小标宋简体" w:cs="方正小标宋简体"/>
          <w:w w:val="100"/>
          <w:sz w:val="44"/>
          <w:szCs w:val="44"/>
        </w:rPr>
        <w:t>年度居民养老、医疗保险征缴工作领导小组成员名单</w:t>
      </w:r>
    </w:p>
    <w:p>
      <w:pPr>
        <w:keepNext w:val="0"/>
        <w:keepLines w:val="0"/>
        <w:pageBreakBefore w:val="0"/>
        <w:widowControl w:val="0"/>
        <w:tabs>
          <w:tab w:val="left" w:pos="1275"/>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黑体" w:hAnsi="黑体" w:eastAsia="黑体" w:cs="黑体"/>
          <w:sz w:val="32"/>
          <w:szCs w:val="32"/>
        </w:rPr>
        <w:t>组　长：</w:t>
      </w:r>
      <w:r>
        <w:rPr>
          <w:rFonts w:hint="eastAsia" w:ascii="仿宋_GB2312" w:hAnsi="仿宋_GB2312" w:eastAsia="仿宋_GB2312" w:cs="仿宋_GB2312"/>
          <w:color w:val="000000"/>
          <w:sz w:val="32"/>
          <w:szCs w:val="32"/>
          <w:lang w:eastAsia="zh-CN"/>
        </w:rPr>
        <w:t>周</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琪</w:t>
      </w:r>
      <w:r>
        <w:rPr>
          <w:rFonts w:hint="eastAsia" w:ascii="仿宋_GB2312" w:hAnsi="仿宋_GB2312" w:eastAsia="仿宋_GB2312" w:cs="仿宋_GB2312"/>
          <w:color w:val="000000"/>
          <w:sz w:val="32"/>
          <w:szCs w:val="32"/>
        </w:rPr>
        <w:t xml:space="preserve">  区委常委、</w:t>
      </w:r>
      <w:r>
        <w:rPr>
          <w:rFonts w:hint="eastAsia" w:ascii="仿宋_GB2312" w:hAnsi="仿宋_GB2312" w:eastAsia="仿宋_GB2312" w:cs="仿宋_GB2312"/>
          <w:color w:val="000000"/>
          <w:sz w:val="32"/>
          <w:szCs w:val="32"/>
          <w:lang w:eastAsia="zh-CN"/>
        </w:rPr>
        <w:t>常务</w:t>
      </w:r>
      <w:r>
        <w:rPr>
          <w:rFonts w:hint="eastAsia" w:ascii="仿宋_GB2312" w:hAnsi="仿宋_GB2312" w:eastAsia="仿宋_GB2312" w:cs="仿宋_GB2312"/>
          <w:color w:val="000000"/>
          <w:sz w:val="32"/>
          <w:szCs w:val="32"/>
        </w:rPr>
        <w:t>副区长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副组长：</w:t>
      </w:r>
      <w:r>
        <w:rPr>
          <w:rFonts w:hint="eastAsia" w:ascii="仿宋_GB2312" w:hAnsi="仿宋_GB2312" w:eastAsia="仿宋_GB2312" w:cs="仿宋_GB2312"/>
          <w:color w:val="000000"/>
          <w:sz w:val="32"/>
          <w:szCs w:val="32"/>
          <w:lang w:eastAsia="zh-CN"/>
        </w:rPr>
        <w:t>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娟</w:t>
      </w:r>
      <w:r>
        <w:rPr>
          <w:rFonts w:hint="eastAsia" w:ascii="仿宋_GB2312" w:hAnsi="仿宋_GB2312" w:eastAsia="仿宋_GB2312" w:cs="仿宋_GB2312"/>
          <w:color w:val="000000"/>
          <w:sz w:val="32"/>
          <w:szCs w:val="32"/>
        </w:rPr>
        <w:t xml:space="preserve">  区政府</w:t>
      </w:r>
      <w:r>
        <w:rPr>
          <w:rFonts w:hint="eastAsia" w:ascii="仿宋_GB2312" w:hAnsi="仿宋_GB2312" w:eastAsia="仿宋_GB2312" w:cs="仿宋_GB2312"/>
          <w:color w:val="000000"/>
          <w:sz w:val="32"/>
          <w:szCs w:val="32"/>
          <w:lang w:val="en-US" w:eastAsia="zh-CN"/>
        </w:rPr>
        <w:t>党组成员、</w:t>
      </w:r>
      <w:r>
        <w:rPr>
          <w:rFonts w:hint="eastAsia" w:ascii="仿宋_GB2312" w:hAnsi="仿宋_GB2312" w:eastAsia="仿宋_GB2312" w:cs="仿宋_GB2312"/>
          <w:color w:val="000000"/>
          <w:sz w:val="32"/>
          <w:szCs w:val="32"/>
        </w:rPr>
        <w:t>副区长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成  员：</w:t>
      </w:r>
      <w:r>
        <w:rPr>
          <w:rFonts w:hint="eastAsia" w:ascii="仿宋_GB2312" w:hAnsi="仿宋_GB2312" w:eastAsia="仿宋_GB2312" w:cs="仿宋_GB2312"/>
          <w:sz w:val="32"/>
          <w:szCs w:val="32"/>
        </w:rPr>
        <w:t>孔  伟  区税务局</w:t>
      </w:r>
      <w:r>
        <w:rPr>
          <w:rFonts w:hint="eastAsia" w:ascii="仿宋_GB2312" w:hAnsi="仿宋_GB2312" w:eastAsia="仿宋_GB2312" w:cs="仿宋_GB2312"/>
          <w:sz w:val="32"/>
          <w:szCs w:val="32"/>
          <w:lang w:eastAsia="zh-CN"/>
        </w:rPr>
        <w:t>党委书记、</w:t>
      </w:r>
      <w:r>
        <w:rPr>
          <w:rFonts w:hint="eastAsia" w:ascii="仿宋_GB2312" w:hAnsi="仿宋_GB2312" w:eastAsia="仿宋_GB2312" w:cs="仿宋_GB2312"/>
          <w:sz w:val="32"/>
          <w:szCs w:val="32"/>
        </w:rPr>
        <w:t>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雷  杰  </w:t>
      </w:r>
      <w:r>
        <w:rPr>
          <w:rFonts w:hint="eastAsia" w:ascii="仿宋_GB2312" w:hAnsi="仿宋_GB2312" w:eastAsia="仿宋_GB2312" w:cs="仿宋_GB2312"/>
          <w:spacing w:val="-17"/>
          <w:sz w:val="32"/>
          <w:szCs w:val="32"/>
          <w:lang w:val="en-US" w:eastAsia="zh-CN"/>
        </w:rPr>
        <w:t>区委组织部副部长，区</w:t>
      </w:r>
      <w:r>
        <w:rPr>
          <w:rFonts w:hint="eastAsia" w:ascii="仿宋_GB2312" w:hAnsi="仿宋_GB2312" w:eastAsia="仿宋_GB2312" w:cs="仿宋_GB2312"/>
          <w:spacing w:val="-17"/>
          <w:sz w:val="32"/>
          <w:szCs w:val="32"/>
        </w:rPr>
        <w:t>人社局</w:t>
      </w:r>
      <w:r>
        <w:rPr>
          <w:rFonts w:hint="eastAsia" w:ascii="仿宋_GB2312" w:hAnsi="仿宋_GB2312" w:eastAsia="仿宋_GB2312" w:cs="仿宋_GB2312"/>
          <w:spacing w:val="-17"/>
          <w:sz w:val="32"/>
          <w:szCs w:val="32"/>
          <w:highlight w:val="none"/>
          <w:lang w:val="en-US" w:eastAsia="zh-CN"/>
        </w:rPr>
        <w:t>党组书记、</w:t>
      </w:r>
      <w:r>
        <w:rPr>
          <w:rFonts w:hint="eastAsia" w:ascii="仿宋_GB2312" w:hAnsi="仿宋_GB2312" w:eastAsia="仿宋_GB2312" w:cs="仿宋_GB2312"/>
          <w:spacing w:val="-17"/>
          <w:sz w:val="32"/>
          <w:szCs w:val="32"/>
        </w:rPr>
        <w:t>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王献伟</w:t>
      </w:r>
      <w:r>
        <w:rPr>
          <w:rFonts w:hint="eastAsia" w:ascii="仿宋_GB2312" w:hAnsi="仿宋_GB2312" w:eastAsia="仿宋_GB2312" w:cs="仿宋_GB2312"/>
          <w:sz w:val="32"/>
          <w:szCs w:val="32"/>
        </w:rPr>
        <w:t xml:space="preserve">  区医保局局长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王  </w:t>
      </w:r>
      <w:r>
        <w:rPr>
          <w:rFonts w:hint="eastAsia" w:ascii="仿宋_GB2312" w:hAnsi="仿宋_GB2312" w:eastAsia="仿宋_GB2312" w:cs="仿宋_GB2312"/>
          <w:color w:val="000000"/>
          <w:sz w:val="32"/>
          <w:szCs w:val="32"/>
          <w:lang w:eastAsia="zh-CN"/>
        </w:rPr>
        <w:t>冠</w:t>
      </w:r>
      <w:r>
        <w:rPr>
          <w:rFonts w:hint="eastAsia" w:ascii="仿宋_GB2312" w:hAnsi="仿宋_GB2312" w:eastAsia="仿宋_GB2312" w:cs="仿宋_GB2312"/>
          <w:color w:val="000000"/>
          <w:sz w:val="32"/>
          <w:szCs w:val="32"/>
        </w:rPr>
        <w:t xml:space="preserve">  区财政局</w:t>
      </w:r>
      <w:r>
        <w:rPr>
          <w:rFonts w:hint="eastAsia" w:ascii="仿宋_GB2312" w:hAnsi="仿宋_GB2312" w:eastAsia="仿宋_GB2312" w:cs="仿宋_GB2312"/>
          <w:color w:val="000000"/>
          <w:sz w:val="32"/>
          <w:szCs w:val="32"/>
          <w:lang w:eastAsia="zh-CN"/>
        </w:rPr>
        <w:t>党组成员、</w:t>
      </w:r>
      <w:r>
        <w:rPr>
          <w:rFonts w:hint="eastAsia" w:ascii="仿宋_GB2312" w:hAnsi="仿宋_GB2312" w:eastAsia="仿宋_GB2312" w:cs="仿宋_GB2312"/>
          <w:color w:val="000000"/>
          <w:sz w:val="32"/>
          <w:szCs w:val="32"/>
          <w:lang w:val="en-US" w:eastAsia="zh-CN"/>
        </w:rPr>
        <w:t>一级主任科员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周一鸣  区公安分局</w:t>
      </w:r>
      <w:r>
        <w:rPr>
          <w:rFonts w:hint="eastAsia" w:ascii="仿宋_GB2312" w:hAnsi="仿宋_GB2312" w:eastAsia="仿宋_GB2312" w:cs="仿宋_GB2312"/>
          <w:color w:val="000000"/>
          <w:sz w:val="32"/>
          <w:szCs w:val="32"/>
          <w:lang w:eastAsia="zh-CN"/>
        </w:rPr>
        <w:t>党委委员、</w:t>
      </w:r>
      <w:r>
        <w:rPr>
          <w:rFonts w:hint="eastAsia" w:ascii="仿宋_GB2312" w:hAnsi="仿宋_GB2312" w:eastAsia="仿宋_GB2312" w:cs="仿宋_GB2312"/>
          <w:color w:val="000000"/>
          <w:sz w:val="32"/>
          <w:szCs w:val="32"/>
        </w:rPr>
        <w:t>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黄玉国  区卫健局党组</w:t>
      </w:r>
      <w:r>
        <w:rPr>
          <w:rFonts w:hint="eastAsia" w:ascii="仿宋_GB2312" w:hAnsi="仿宋_GB2312" w:eastAsia="仿宋_GB2312" w:cs="仿宋_GB2312"/>
          <w:color w:val="000000"/>
          <w:sz w:val="32"/>
          <w:szCs w:val="32"/>
          <w:lang w:val="en-US" w:eastAsia="zh-CN"/>
        </w:rPr>
        <w:t>副书记、一级主任科员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xml:space="preserve">褚云龙  </w:t>
      </w:r>
      <w:r>
        <w:rPr>
          <w:rFonts w:hint="eastAsia" w:ascii="仿宋_GB2312" w:hAnsi="仿宋_GB2312" w:eastAsia="仿宋_GB2312" w:cs="仿宋_GB2312"/>
          <w:color w:val="000000"/>
          <w:spacing w:val="-34"/>
          <w:sz w:val="32"/>
          <w:szCs w:val="32"/>
        </w:rPr>
        <w:t>区民政局党组成员</w:t>
      </w:r>
      <w:r>
        <w:rPr>
          <w:rFonts w:hint="eastAsia" w:ascii="仿宋_GB2312" w:hAnsi="仿宋_GB2312" w:eastAsia="仿宋_GB2312" w:cs="仿宋_GB2312"/>
          <w:color w:val="000000"/>
          <w:spacing w:val="-34"/>
          <w:sz w:val="32"/>
          <w:szCs w:val="32"/>
          <w:lang w:eastAsia="zh-CN"/>
        </w:rPr>
        <w:t>、</w:t>
      </w:r>
      <w:r>
        <w:rPr>
          <w:rFonts w:hint="eastAsia" w:ascii="仿宋_GB2312" w:hAnsi="仿宋_GB2312" w:eastAsia="仿宋_GB2312" w:cs="仿宋_GB2312"/>
          <w:color w:val="000000"/>
          <w:spacing w:val="-34"/>
          <w:sz w:val="32"/>
          <w:szCs w:val="32"/>
          <w:lang w:val="en-US" w:eastAsia="zh-CN"/>
        </w:rPr>
        <w:t>区社会救助综合服务中心主任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李  刚  区乡村振兴局副局长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刘春平</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pacing w:val="-11"/>
          <w:sz w:val="32"/>
          <w:szCs w:val="32"/>
          <w:lang w:val="en-US" w:eastAsia="zh-CN"/>
        </w:rPr>
        <w:t>区审计局党组成员、副局长，二级主任科员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赵  贵  区退役军人事务局副局长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李  志  区残联</w:t>
      </w:r>
      <w:r>
        <w:rPr>
          <w:rFonts w:hint="eastAsia" w:ascii="仿宋_GB2312" w:hAnsi="仿宋_GB2312" w:eastAsia="仿宋_GB2312" w:cs="仿宋_GB2312"/>
          <w:color w:val="000000"/>
          <w:sz w:val="32"/>
          <w:szCs w:val="32"/>
          <w:lang w:val="en-US" w:eastAsia="zh-CN"/>
        </w:rPr>
        <w:t>党组成员、理事会</w:t>
      </w:r>
      <w:r>
        <w:rPr>
          <w:rFonts w:hint="eastAsia" w:ascii="仿宋_GB2312" w:hAnsi="仿宋_GB2312" w:eastAsia="仿宋_GB2312" w:cs="仿宋_GB2312"/>
          <w:color w:val="000000"/>
          <w:sz w:val="32"/>
          <w:szCs w:val="32"/>
        </w:rPr>
        <w:t>副理事长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褚</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萌</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区融媒体中心</w:t>
      </w:r>
      <w:r>
        <w:rPr>
          <w:rFonts w:hint="eastAsia" w:ascii="仿宋_GB2312" w:hAnsi="仿宋_GB2312" w:eastAsia="仿宋_GB2312" w:cs="仿宋_GB2312"/>
          <w:color w:val="000000"/>
          <w:sz w:val="32"/>
          <w:szCs w:val="32"/>
          <w:lang w:val="en-US" w:eastAsia="zh-CN"/>
        </w:rPr>
        <w:t>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王  斌  </w:t>
      </w:r>
      <w:r>
        <w:rPr>
          <w:rFonts w:hint="eastAsia" w:ascii="仿宋_GB2312" w:hAnsi="仿宋_GB2312" w:eastAsia="仿宋_GB2312" w:cs="仿宋_GB2312"/>
          <w:color w:val="000000"/>
          <w:spacing w:val="-23"/>
          <w:sz w:val="32"/>
          <w:szCs w:val="32"/>
          <w:lang w:val="en-US" w:eastAsia="zh-CN"/>
        </w:rPr>
        <w:t>区人社局党组副书记、</w:t>
      </w:r>
      <w:r>
        <w:rPr>
          <w:rFonts w:hint="eastAsia" w:ascii="仿宋_GB2312" w:hAnsi="仿宋_GB2312" w:eastAsia="仿宋_GB2312" w:cs="仿宋_GB2312"/>
          <w:color w:val="000000"/>
          <w:spacing w:val="-23"/>
          <w:sz w:val="32"/>
          <w:szCs w:val="32"/>
        </w:rPr>
        <w:t>区社会保险事业中心主任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王连稳</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7"/>
          <w:sz w:val="32"/>
          <w:szCs w:val="32"/>
        </w:rPr>
        <w:t>区</w:t>
      </w:r>
      <w:r>
        <w:rPr>
          <w:rFonts w:hint="eastAsia" w:ascii="仿宋_GB2312" w:hAnsi="仿宋_GB2312" w:eastAsia="仿宋_GB2312" w:cs="仿宋_GB2312"/>
          <w:spacing w:val="-17"/>
          <w:sz w:val="32"/>
          <w:szCs w:val="32"/>
          <w:lang w:val="en-US" w:eastAsia="zh-CN"/>
        </w:rPr>
        <w:t>医保局党组成员、区</w:t>
      </w:r>
      <w:r>
        <w:rPr>
          <w:rFonts w:hint="eastAsia" w:ascii="仿宋_GB2312" w:hAnsi="仿宋_GB2312" w:eastAsia="仿宋_GB2312" w:cs="仿宋_GB2312"/>
          <w:spacing w:val="-17"/>
          <w:sz w:val="32"/>
          <w:szCs w:val="32"/>
        </w:rPr>
        <w:t>医疗保险事业中心主任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马萌萌  区税务局</w:t>
      </w:r>
      <w:r>
        <w:rPr>
          <w:rFonts w:hint="eastAsia" w:ascii="仿宋_GB2312" w:hAnsi="仿宋_GB2312" w:eastAsia="仿宋_GB2312" w:cs="仿宋_GB2312"/>
          <w:sz w:val="32"/>
          <w:szCs w:val="32"/>
          <w:lang w:eastAsia="zh-CN"/>
        </w:rPr>
        <w:t>党委委员、</w:t>
      </w:r>
      <w:r>
        <w:rPr>
          <w:rFonts w:hint="eastAsia" w:ascii="仿宋_GB2312" w:hAnsi="仿宋_GB2312" w:eastAsia="仿宋_GB2312" w:cs="仿宋_GB2312"/>
          <w:sz w:val="32"/>
          <w:szCs w:val="32"/>
        </w:rPr>
        <w:t>副局长</w:t>
      </w:r>
    </w:p>
    <w:p>
      <w:pPr>
        <w:keepNext w:val="0"/>
        <w:keepLines w:val="0"/>
        <w:pageBreakBefore w:val="0"/>
        <w:widowControl w:val="0"/>
        <w:tabs>
          <w:tab w:val="left" w:pos="1275"/>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sectPr>
          <w:pgSz w:w="11906" w:h="16838"/>
          <w:pgMar w:top="1701" w:right="1474" w:bottom="1588" w:left="1588" w:header="851" w:footer="1418" w:gutter="0"/>
          <w:pgNumType w:fmt="numberInDash"/>
          <w:cols w:space="720" w:num="1"/>
          <w:docGrid w:type="lines" w:linePitch="314" w:charSpace="0"/>
        </w:sectPr>
      </w:pPr>
      <w:r>
        <w:rPr>
          <w:rFonts w:hint="eastAsia" w:ascii="仿宋_GB2312" w:hAnsi="仿宋_GB2312" w:eastAsia="仿宋_GB2312" w:cs="仿宋_GB2312"/>
          <w:sz w:val="32"/>
          <w:szCs w:val="32"/>
        </w:rPr>
        <w:t>领导小组下设办公室，办公室设在区税务局，</w:t>
      </w:r>
      <w:r>
        <w:rPr>
          <w:rFonts w:hint="eastAsia" w:ascii="仿宋_GB2312" w:hAnsi="仿宋_GB2312" w:eastAsia="仿宋_GB2312" w:cs="仿宋_GB2312"/>
          <w:sz w:val="32"/>
          <w:szCs w:val="32"/>
          <w:lang w:eastAsia="zh-CN"/>
        </w:rPr>
        <w:t>马萌萌</w:t>
      </w:r>
      <w:r>
        <w:rPr>
          <w:rFonts w:hint="eastAsia" w:ascii="仿宋_GB2312" w:hAnsi="仿宋_GB2312" w:eastAsia="仿宋_GB2312" w:cs="仿宋_GB2312"/>
          <w:sz w:val="32"/>
          <w:szCs w:val="32"/>
          <w:lang w:val="en-US" w:eastAsia="zh-CN"/>
        </w:rPr>
        <w:t>兼</w:t>
      </w:r>
      <w:r>
        <w:rPr>
          <w:rFonts w:hint="eastAsia" w:ascii="仿宋_GB2312" w:hAnsi="仿宋_GB2312" w:eastAsia="仿宋_GB2312" w:cs="仿宋_GB2312"/>
          <w:sz w:val="32"/>
          <w:szCs w:val="32"/>
        </w:rPr>
        <w:t>任办公室主任。</w:t>
      </w:r>
    </w:p>
    <w:p>
      <w:pPr>
        <w:tabs>
          <w:tab w:val="left" w:pos="1275"/>
        </w:tabs>
        <w:spacing w:line="560" w:lineRule="exact"/>
        <w:jc w:val="left"/>
        <w:rPr>
          <w:rFonts w:hint="eastAsia" w:ascii="黑体" w:hAnsi="黑体" w:eastAsia="黑体" w:cs="黑体"/>
          <w:sz w:val="32"/>
          <w:szCs w:val="32"/>
        </w:rPr>
      </w:pPr>
      <w:r>
        <w:rPr>
          <w:rFonts w:hint="eastAsia" w:ascii="黑体" w:hAnsi="黑体" w:eastAsia="黑体" w:cs="黑体"/>
          <w:sz w:val="32"/>
          <w:szCs w:val="32"/>
        </w:rPr>
        <w:t>附件2</w:t>
      </w:r>
    </w:p>
    <w:tbl>
      <w:tblPr>
        <w:tblStyle w:val="9"/>
        <w:tblW w:w="4893" w:type="pct"/>
        <w:jc w:val="center"/>
        <w:tblLayout w:type="fixed"/>
        <w:tblCellMar>
          <w:top w:w="0" w:type="dxa"/>
          <w:left w:w="108" w:type="dxa"/>
          <w:bottom w:w="0" w:type="dxa"/>
          <w:right w:w="108" w:type="dxa"/>
        </w:tblCellMar>
      </w:tblPr>
      <w:tblGrid>
        <w:gridCol w:w="1878"/>
        <w:gridCol w:w="1843"/>
        <w:gridCol w:w="2901"/>
        <w:gridCol w:w="2901"/>
        <w:gridCol w:w="3947"/>
      </w:tblGrid>
      <w:tr>
        <w:tblPrEx>
          <w:tblCellMar>
            <w:top w:w="0" w:type="dxa"/>
            <w:left w:w="108" w:type="dxa"/>
            <w:bottom w:w="0" w:type="dxa"/>
            <w:right w:w="108" w:type="dxa"/>
          </w:tblCellMar>
        </w:tblPrEx>
        <w:trPr>
          <w:trHeight w:val="90" w:hRule="atLeast"/>
          <w:jc w:val="center"/>
        </w:trPr>
        <w:tc>
          <w:tcPr>
            <w:tcW w:w="5000" w:type="pct"/>
            <w:gridSpan w:val="5"/>
            <w:tcBorders>
              <w:top w:val="nil"/>
              <w:left w:val="nil"/>
              <w:bottom w:val="nil"/>
              <w:right w:val="nil"/>
            </w:tcBorders>
            <w:noWrap/>
            <w:vAlign w:val="bottom"/>
          </w:tcPr>
          <w:p>
            <w:pPr>
              <w:widowControl/>
              <w:jc w:val="center"/>
              <w:rPr>
                <w:rFonts w:ascii="宋体" w:cs="宋体"/>
                <w:b/>
                <w:bCs/>
                <w:color w:val="000000"/>
                <w:kern w:val="0"/>
                <w:sz w:val="30"/>
                <w:szCs w:val="30"/>
              </w:rPr>
            </w:pPr>
            <w:r>
              <w:rPr>
                <w:rFonts w:hint="eastAsia" w:ascii="方正小标宋简体" w:hAnsi="方正小标宋简体" w:eastAsia="方正小标宋简体" w:cs="方正小标宋简体"/>
                <w:b w:val="0"/>
                <w:bCs w:val="0"/>
                <w:color w:val="000000"/>
                <w:kern w:val="0"/>
                <w:sz w:val="44"/>
                <w:szCs w:val="44"/>
              </w:rPr>
              <w:t>山亭区202</w:t>
            </w:r>
            <w:r>
              <w:rPr>
                <w:rFonts w:hint="eastAsia" w:ascii="方正小标宋简体" w:hAnsi="方正小标宋简体" w:eastAsia="方正小标宋简体" w:cs="方正小标宋简体"/>
                <w:b w:val="0"/>
                <w:bCs w:val="0"/>
                <w:color w:val="000000"/>
                <w:kern w:val="0"/>
                <w:sz w:val="44"/>
                <w:szCs w:val="44"/>
                <w:lang w:val="en-US" w:eastAsia="zh-CN"/>
              </w:rPr>
              <w:t>4</w:t>
            </w:r>
            <w:r>
              <w:rPr>
                <w:rFonts w:hint="eastAsia" w:ascii="方正小标宋简体" w:hAnsi="方正小标宋简体" w:eastAsia="方正小标宋简体" w:cs="方正小标宋简体"/>
                <w:b w:val="0"/>
                <w:bCs w:val="0"/>
                <w:color w:val="000000"/>
                <w:kern w:val="0"/>
                <w:sz w:val="44"/>
                <w:szCs w:val="44"/>
              </w:rPr>
              <w:t>年度居民社会保险费征缴统计参照表</w:t>
            </w:r>
          </w:p>
        </w:tc>
      </w:tr>
      <w:tr>
        <w:tblPrEx>
          <w:tblCellMar>
            <w:top w:w="0" w:type="dxa"/>
            <w:left w:w="108" w:type="dxa"/>
            <w:bottom w:w="0" w:type="dxa"/>
            <w:right w:w="108" w:type="dxa"/>
          </w:tblCellMar>
        </w:tblPrEx>
        <w:trPr>
          <w:trHeight w:val="450" w:hRule="atLeast"/>
          <w:jc w:val="center"/>
        </w:trPr>
        <w:tc>
          <w:tcPr>
            <w:tcW w:w="697"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镇</w:t>
            </w:r>
            <w:r>
              <w:rPr>
                <w:rFonts w:hint="eastAsia" w:ascii="黑体" w:hAnsi="宋体" w:eastAsia="黑体" w:cs="宋体"/>
                <w:color w:val="000000"/>
                <w:kern w:val="0"/>
                <w:sz w:val="24"/>
                <w:lang w:eastAsia="zh-CN"/>
              </w:rPr>
              <w:t>（</w:t>
            </w:r>
            <w:r>
              <w:rPr>
                <w:rFonts w:hint="eastAsia" w:ascii="黑体" w:hAnsi="宋体" w:eastAsia="黑体" w:cs="宋体"/>
                <w:color w:val="000000"/>
                <w:kern w:val="0"/>
                <w:sz w:val="24"/>
              </w:rPr>
              <w:t>街道</w:t>
            </w:r>
            <w:r>
              <w:rPr>
                <w:rFonts w:hint="eastAsia" w:ascii="黑体" w:hAnsi="宋体" w:eastAsia="黑体" w:cs="宋体"/>
                <w:color w:val="000000"/>
                <w:kern w:val="0"/>
                <w:sz w:val="24"/>
                <w:lang w:eastAsia="zh-CN"/>
              </w:rPr>
              <w:t>）</w:t>
            </w:r>
          </w:p>
        </w:tc>
        <w:tc>
          <w:tcPr>
            <w:tcW w:w="684"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村</w:t>
            </w:r>
            <w:r>
              <w:rPr>
                <w:rFonts w:hint="eastAsia" w:ascii="黑体" w:hAnsi="宋体" w:eastAsia="黑体" w:cs="宋体"/>
                <w:color w:val="000000"/>
                <w:kern w:val="0"/>
                <w:sz w:val="24"/>
                <w:lang w:eastAsia="zh-CN"/>
              </w:rPr>
              <w:t>（</w:t>
            </w:r>
            <w:r>
              <w:rPr>
                <w:rFonts w:hint="eastAsia" w:ascii="黑体" w:hAnsi="宋体" w:eastAsia="黑体" w:cs="宋体"/>
                <w:color w:val="000000"/>
                <w:kern w:val="0"/>
                <w:sz w:val="24"/>
              </w:rPr>
              <w:t>居</w:t>
            </w:r>
            <w:r>
              <w:rPr>
                <w:rFonts w:hint="eastAsia" w:ascii="黑体" w:hAnsi="宋体" w:eastAsia="黑体" w:cs="宋体"/>
                <w:color w:val="000000"/>
                <w:kern w:val="0"/>
                <w:sz w:val="24"/>
                <w:lang w:eastAsia="zh-CN"/>
              </w:rPr>
              <w:t>）</w:t>
            </w:r>
            <w:r>
              <w:rPr>
                <w:rFonts w:hint="eastAsia" w:ascii="黑体" w:hAnsi="宋体" w:eastAsia="黑体" w:cs="宋体"/>
                <w:color w:val="000000"/>
                <w:kern w:val="0"/>
                <w:sz w:val="24"/>
              </w:rPr>
              <w:t>数</w:t>
            </w:r>
          </w:p>
          <w:p>
            <w:pPr>
              <w:widowControl/>
              <w:jc w:val="center"/>
              <w:rPr>
                <w:rFonts w:ascii="黑体" w:hAnsi="宋体" w:eastAsia="黑体" w:cs="宋体"/>
                <w:color w:val="000000"/>
                <w:kern w:val="0"/>
                <w:sz w:val="24"/>
              </w:rPr>
            </w:pPr>
            <w:r>
              <w:rPr>
                <w:rFonts w:hint="eastAsia" w:ascii="黑体" w:hAnsi="宋体" w:eastAsia="黑体" w:cs="宋体"/>
                <w:color w:val="000000"/>
                <w:kern w:val="0"/>
                <w:sz w:val="24"/>
                <w:lang w:eastAsia="zh-CN"/>
              </w:rPr>
              <w:t>（</w:t>
            </w:r>
            <w:r>
              <w:rPr>
                <w:rFonts w:hint="eastAsia" w:ascii="黑体" w:hAnsi="宋体" w:eastAsia="黑体" w:cs="宋体"/>
                <w:color w:val="000000"/>
                <w:kern w:val="0"/>
                <w:sz w:val="24"/>
              </w:rPr>
              <w:t>以医保为准</w:t>
            </w:r>
            <w:r>
              <w:rPr>
                <w:rFonts w:hint="eastAsia" w:ascii="黑体" w:hAnsi="宋体" w:eastAsia="黑体" w:cs="宋体"/>
                <w:color w:val="000000"/>
                <w:kern w:val="0"/>
                <w:sz w:val="24"/>
                <w:lang w:eastAsia="zh-CN"/>
              </w:rPr>
              <w:t>）</w:t>
            </w:r>
          </w:p>
        </w:tc>
        <w:tc>
          <w:tcPr>
            <w:tcW w:w="1077" w:type="pct"/>
            <w:tcBorders>
              <w:top w:val="single" w:color="auto" w:sz="4" w:space="0"/>
              <w:left w:val="nil"/>
              <w:bottom w:val="single" w:color="auto" w:sz="4" w:space="0"/>
              <w:right w:val="single" w:color="auto" w:sz="4" w:space="0"/>
            </w:tcBorders>
            <w:noWrap/>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养老保险</w:t>
            </w:r>
          </w:p>
        </w:tc>
        <w:tc>
          <w:tcPr>
            <w:tcW w:w="1077" w:type="pct"/>
            <w:tcBorders>
              <w:top w:val="single" w:color="auto" w:sz="4" w:space="0"/>
              <w:left w:val="nil"/>
              <w:bottom w:val="single" w:color="auto" w:sz="4" w:space="0"/>
              <w:right w:val="single" w:color="auto" w:sz="4" w:space="0"/>
            </w:tcBorders>
            <w:noWrap/>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医疗保险</w:t>
            </w:r>
          </w:p>
        </w:tc>
        <w:tc>
          <w:tcPr>
            <w:tcW w:w="146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备注</w:t>
            </w:r>
          </w:p>
        </w:tc>
      </w:tr>
      <w:tr>
        <w:tblPrEx>
          <w:tblCellMar>
            <w:top w:w="0" w:type="dxa"/>
            <w:left w:w="108" w:type="dxa"/>
            <w:bottom w:w="0" w:type="dxa"/>
            <w:right w:w="108" w:type="dxa"/>
          </w:tblCellMar>
        </w:tblPrEx>
        <w:trPr>
          <w:trHeight w:val="537" w:hRule="atLeast"/>
          <w:jc w:val="center"/>
        </w:trPr>
        <w:tc>
          <w:tcPr>
            <w:tcW w:w="697"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宋体" w:eastAsia="黑体" w:cs="宋体"/>
                <w:color w:val="000000"/>
                <w:kern w:val="0"/>
                <w:sz w:val="24"/>
              </w:rPr>
            </w:pPr>
          </w:p>
        </w:tc>
        <w:tc>
          <w:tcPr>
            <w:tcW w:w="684"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宋体" w:eastAsia="黑体" w:cs="宋体"/>
                <w:color w:val="000000"/>
                <w:kern w:val="0"/>
                <w:sz w:val="24"/>
              </w:rPr>
            </w:pPr>
          </w:p>
        </w:tc>
        <w:tc>
          <w:tcPr>
            <w:tcW w:w="1077" w:type="pct"/>
            <w:tcBorders>
              <w:top w:val="nil"/>
              <w:left w:val="nil"/>
              <w:bottom w:val="single" w:color="auto" w:sz="4" w:space="0"/>
              <w:right w:val="single" w:color="auto" w:sz="4" w:space="0"/>
            </w:tcBorders>
            <w:noWrap/>
            <w:vAlign w:val="center"/>
          </w:tcPr>
          <w:p>
            <w:pPr>
              <w:widowControl/>
              <w:spacing w:line="400" w:lineRule="exact"/>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人数</w:t>
            </w:r>
          </w:p>
        </w:tc>
        <w:tc>
          <w:tcPr>
            <w:tcW w:w="1077" w:type="pct"/>
            <w:tcBorders>
              <w:top w:val="nil"/>
              <w:left w:val="nil"/>
              <w:bottom w:val="single" w:color="auto" w:sz="4" w:space="0"/>
              <w:right w:val="single" w:color="auto" w:sz="4" w:space="0"/>
            </w:tcBorders>
            <w:noWrap/>
            <w:vAlign w:val="center"/>
          </w:tcPr>
          <w:p>
            <w:pPr>
              <w:widowControl/>
              <w:spacing w:line="400" w:lineRule="exact"/>
              <w:jc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人数</w:t>
            </w:r>
          </w:p>
        </w:tc>
        <w:tc>
          <w:tcPr>
            <w:tcW w:w="1463" w:type="pct"/>
            <w:tcBorders>
              <w:top w:val="single" w:color="auto" w:sz="4" w:space="0"/>
              <w:left w:val="single" w:color="auto" w:sz="4" w:space="0"/>
              <w:right w:val="single" w:color="auto" w:sz="4" w:space="0"/>
            </w:tcBorders>
            <w:noWrap/>
            <w:vAlign w:val="center"/>
          </w:tcPr>
          <w:p>
            <w:pPr>
              <w:widowControl/>
              <w:jc w:val="left"/>
              <w:rPr>
                <w:rFonts w:ascii="黑体" w:hAnsi="宋体" w:eastAsia="黑体" w:cs="宋体"/>
                <w:color w:val="000000"/>
                <w:kern w:val="0"/>
                <w:sz w:val="24"/>
              </w:rPr>
            </w:pPr>
          </w:p>
        </w:tc>
      </w:tr>
      <w:tr>
        <w:tblPrEx>
          <w:tblCellMar>
            <w:top w:w="0" w:type="dxa"/>
            <w:left w:w="108" w:type="dxa"/>
            <w:bottom w:w="0" w:type="dxa"/>
            <w:right w:w="108" w:type="dxa"/>
          </w:tblCellMar>
        </w:tblPrEx>
        <w:trPr>
          <w:trHeight w:val="546" w:hRule="atLeast"/>
          <w:jc w:val="center"/>
        </w:trPr>
        <w:tc>
          <w:tcPr>
            <w:tcW w:w="697" w:type="pct"/>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宋体" w:cs="宋体"/>
                <w:kern w:val="0"/>
                <w:sz w:val="24"/>
              </w:rPr>
            </w:pPr>
            <w:r>
              <w:rPr>
                <w:rFonts w:hint="eastAsia" w:ascii="宋体" w:hAnsi="宋体" w:cs="宋体"/>
                <w:kern w:val="0"/>
                <w:sz w:val="24"/>
              </w:rPr>
              <w:t>山城街道</w:t>
            </w:r>
          </w:p>
        </w:tc>
        <w:tc>
          <w:tcPr>
            <w:tcW w:w="684"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ascii="宋体" w:cs="宋体"/>
                <w:color w:val="000000" w:themeColor="text1"/>
                <w:kern w:val="0"/>
                <w:sz w:val="24"/>
                <w14:textFill>
                  <w14:solidFill>
                    <w14:schemeClr w14:val="tx1"/>
                  </w14:solidFill>
                </w14:textFill>
              </w:rPr>
              <w:t>53</w:t>
            </w:r>
          </w:p>
        </w:tc>
        <w:tc>
          <w:tcPr>
            <w:tcW w:w="1077"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14:textFill>
                  <w14:solidFill>
                    <w14:schemeClr w14:val="tx1"/>
                  </w14:solidFill>
                </w14:textFill>
              </w:rPr>
              <w:t>9668</w:t>
            </w:r>
          </w:p>
        </w:tc>
        <w:tc>
          <w:tcPr>
            <w:tcW w:w="1077" w:type="pct"/>
            <w:tcBorders>
              <w:top w:val="nil"/>
              <w:left w:val="nil"/>
              <w:bottom w:val="single" w:color="auto" w:sz="4" w:space="0"/>
              <w:right w:val="single" w:color="auto" w:sz="4" w:space="0"/>
            </w:tcBorders>
            <w:noWrap/>
            <w:vAlign w:val="center"/>
          </w:tcPr>
          <w:p>
            <w:pPr>
              <w:widowControl/>
              <w:jc w:val="center"/>
              <w:textAlignment w:val="center"/>
              <w:rPr>
                <w:rFonts w:ascii="宋体" w:cs="宋体"/>
                <w:color w:val="000000" w:themeColor="text1"/>
                <w:sz w:val="22"/>
                <w14:textFill>
                  <w14:solidFill>
                    <w14:schemeClr w14:val="tx1"/>
                  </w14:solidFill>
                </w14:textFill>
              </w:rPr>
            </w:pPr>
            <w:r>
              <w:rPr>
                <w:rFonts w:hint="eastAsia" w:ascii="宋体" w:cs="宋体"/>
                <w:color w:val="000000" w:themeColor="text1"/>
                <w:sz w:val="24"/>
                <w:szCs w:val="24"/>
                <w14:textFill>
                  <w14:solidFill>
                    <w14:schemeClr w14:val="tx1"/>
                  </w14:solidFill>
                </w14:textFill>
              </w:rPr>
              <w:t>68496</w:t>
            </w:r>
          </w:p>
        </w:tc>
        <w:tc>
          <w:tcPr>
            <w:tcW w:w="1463" w:type="pct"/>
            <w:vMerge w:val="restart"/>
            <w:tcBorders>
              <w:top w:val="nil"/>
              <w:left w:val="single" w:color="auto" w:sz="4" w:space="0"/>
              <w:bottom w:val="single" w:color="000000" w:sz="4" w:space="0"/>
              <w:right w:val="single" w:color="auto" w:sz="4" w:space="0"/>
            </w:tcBorders>
            <w:noWrap/>
            <w:vAlign w:val="center"/>
          </w:tcPr>
          <w:p>
            <w:pPr>
              <w:rPr>
                <w:sz w:val="24"/>
              </w:rPr>
            </w:pPr>
            <w:r>
              <w:rPr>
                <w:rFonts w:hint="eastAsia"/>
                <w:sz w:val="24"/>
              </w:rPr>
              <w:t>养老、医疗保险征缴人数统计口径均不包括免缴费认定人群数量。</w:t>
            </w:r>
          </w:p>
        </w:tc>
      </w:tr>
      <w:tr>
        <w:tblPrEx>
          <w:tblCellMar>
            <w:top w:w="0" w:type="dxa"/>
            <w:left w:w="108" w:type="dxa"/>
            <w:bottom w:w="0" w:type="dxa"/>
            <w:right w:w="108" w:type="dxa"/>
          </w:tblCellMar>
        </w:tblPrEx>
        <w:trPr>
          <w:trHeight w:val="530" w:hRule="atLeast"/>
          <w:jc w:val="center"/>
        </w:trPr>
        <w:tc>
          <w:tcPr>
            <w:tcW w:w="697" w:type="pct"/>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宋体" w:cs="宋体"/>
                <w:kern w:val="0"/>
                <w:sz w:val="24"/>
              </w:rPr>
            </w:pPr>
            <w:r>
              <w:rPr>
                <w:rFonts w:hint="eastAsia" w:ascii="宋体" w:hAnsi="宋体" w:cs="宋体"/>
                <w:kern w:val="0"/>
                <w:sz w:val="24"/>
              </w:rPr>
              <w:t>西集镇</w:t>
            </w:r>
          </w:p>
        </w:tc>
        <w:tc>
          <w:tcPr>
            <w:tcW w:w="684"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ascii="宋体" w:cs="宋体"/>
                <w:color w:val="000000" w:themeColor="text1"/>
                <w:kern w:val="0"/>
                <w:sz w:val="24"/>
                <w14:textFill>
                  <w14:solidFill>
                    <w14:schemeClr w14:val="tx1"/>
                  </w14:solidFill>
                </w14:textFill>
              </w:rPr>
              <w:t>15</w:t>
            </w:r>
          </w:p>
        </w:tc>
        <w:tc>
          <w:tcPr>
            <w:tcW w:w="1077"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14:textFill>
                  <w14:solidFill>
                    <w14:schemeClr w14:val="tx1"/>
                  </w14:solidFill>
                </w14:textFill>
              </w:rPr>
              <w:t>4768</w:t>
            </w:r>
          </w:p>
        </w:tc>
        <w:tc>
          <w:tcPr>
            <w:tcW w:w="1077" w:type="pct"/>
            <w:tcBorders>
              <w:top w:val="nil"/>
              <w:left w:val="nil"/>
              <w:bottom w:val="single" w:color="auto" w:sz="4" w:space="0"/>
              <w:right w:val="single" w:color="auto" w:sz="4" w:space="0"/>
            </w:tcBorders>
            <w:noWrap/>
            <w:vAlign w:val="center"/>
          </w:tcPr>
          <w:p>
            <w:pPr>
              <w:widowControl/>
              <w:jc w:val="center"/>
              <w:textAlignment w:val="center"/>
              <w:rPr>
                <w:rFonts w:ascii="宋体" w:cs="宋体"/>
                <w:color w:val="000000" w:themeColor="text1"/>
                <w:sz w:val="22"/>
                <w14:textFill>
                  <w14:solidFill>
                    <w14:schemeClr w14:val="tx1"/>
                  </w14:solidFill>
                </w14:textFill>
              </w:rPr>
            </w:pPr>
            <w:r>
              <w:rPr>
                <w:rFonts w:hint="eastAsia" w:ascii="宋体" w:cs="宋体"/>
                <w:color w:val="000000" w:themeColor="text1"/>
                <w:sz w:val="24"/>
                <w:szCs w:val="24"/>
                <w14:textFill>
                  <w14:solidFill>
                    <w14:schemeClr w14:val="tx1"/>
                  </w14:solidFill>
                </w14:textFill>
              </w:rPr>
              <w:t>21196</w:t>
            </w:r>
          </w:p>
        </w:tc>
        <w:tc>
          <w:tcPr>
            <w:tcW w:w="1463" w:type="pct"/>
            <w:vMerge w:val="continue"/>
            <w:tcBorders>
              <w:top w:val="nil"/>
              <w:left w:val="single" w:color="auto" w:sz="4" w:space="0"/>
              <w:bottom w:val="single" w:color="000000" w:sz="4" w:space="0"/>
              <w:right w:val="single" w:color="auto" w:sz="4" w:space="0"/>
            </w:tcBorders>
            <w:noWrap/>
            <w:vAlign w:val="center"/>
          </w:tcPr>
          <w:p>
            <w:pPr>
              <w:widowControl/>
              <w:jc w:val="left"/>
              <w:rPr>
                <w:rFonts w:ascii="Arial" w:hAnsi="Arial" w:cs="Arial"/>
                <w:color w:val="000000"/>
                <w:kern w:val="0"/>
                <w:sz w:val="24"/>
              </w:rPr>
            </w:pPr>
          </w:p>
        </w:tc>
      </w:tr>
      <w:tr>
        <w:tblPrEx>
          <w:tblCellMar>
            <w:top w:w="0" w:type="dxa"/>
            <w:left w:w="108" w:type="dxa"/>
            <w:bottom w:w="0" w:type="dxa"/>
            <w:right w:w="108" w:type="dxa"/>
          </w:tblCellMar>
        </w:tblPrEx>
        <w:trPr>
          <w:trHeight w:val="450" w:hRule="atLeast"/>
          <w:jc w:val="center"/>
        </w:trPr>
        <w:tc>
          <w:tcPr>
            <w:tcW w:w="697" w:type="pct"/>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宋体" w:cs="宋体"/>
                <w:kern w:val="0"/>
                <w:sz w:val="24"/>
              </w:rPr>
            </w:pPr>
            <w:r>
              <w:rPr>
                <w:rFonts w:hint="eastAsia" w:ascii="宋体" w:hAnsi="宋体" w:cs="宋体"/>
                <w:kern w:val="0"/>
                <w:sz w:val="24"/>
              </w:rPr>
              <w:t>城头镇</w:t>
            </w:r>
          </w:p>
        </w:tc>
        <w:tc>
          <w:tcPr>
            <w:tcW w:w="684"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ascii="宋体" w:cs="宋体"/>
                <w:color w:val="000000" w:themeColor="text1"/>
                <w:kern w:val="0"/>
                <w:sz w:val="24"/>
                <w14:textFill>
                  <w14:solidFill>
                    <w14:schemeClr w14:val="tx1"/>
                  </w14:solidFill>
                </w14:textFill>
              </w:rPr>
              <w:t>22</w:t>
            </w:r>
          </w:p>
        </w:tc>
        <w:tc>
          <w:tcPr>
            <w:tcW w:w="1077"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14:textFill>
                  <w14:solidFill>
                    <w14:schemeClr w14:val="tx1"/>
                  </w14:solidFill>
                </w14:textFill>
              </w:rPr>
              <w:t>9440</w:t>
            </w:r>
          </w:p>
        </w:tc>
        <w:tc>
          <w:tcPr>
            <w:tcW w:w="1077"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14:textFill>
                  <w14:solidFill>
                    <w14:schemeClr w14:val="tx1"/>
                  </w14:solidFill>
                </w14:textFill>
              </w:rPr>
              <w:t>30409</w:t>
            </w:r>
          </w:p>
        </w:tc>
        <w:tc>
          <w:tcPr>
            <w:tcW w:w="1463" w:type="pct"/>
            <w:vMerge w:val="continue"/>
            <w:tcBorders>
              <w:top w:val="nil"/>
              <w:left w:val="single" w:color="auto" w:sz="4" w:space="0"/>
              <w:bottom w:val="single" w:color="000000" w:sz="4" w:space="0"/>
              <w:right w:val="single" w:color="auto" w:sz="4" w:space="0"/>
            </w:tcBorders>
            <w:noWrap/>
            <w:vAlign w:val="center"/>
          </w:tcPr>
          <w:p>
            <w:pPr>
              <w:widowControl/>
              <w:jc w:val="left"/>
              <w:rPr>
                <w:rFonts w:ascii="Arial" w:hAnsi="Arial" w:cs="Arial"/>
                <w:color w:val="000000"/>
                <w:kern w:val="0"/>
                <w:sz w:val="24"/>
              </w:rPr>
            </w:pPr>
          </w:p>
        </w:tc>
      </w:tr>
      <w:tr>
        <w:tblPrEx>
          <w:tblCellMar>
            <w:top w:w="0" w:type="dxa"/>
            <w:left w:w="108" w:type="dxa"/>
            <w:bottom w:w="0" w:type="dxa"/>
            <w:right w:w="108" w:type="dxa"/>
          </w:tblCellMar>
        </w:tblPrEx>
        <w:trPr>
          <w:trHeight w:val="450" w:hRule="atLeast"/>
          <w:jc w:val="center"/>
        </w:trPr>
        <w:tc>
          <w:tcPr>
            <w:tcW w:w="697" w:type="pct"/>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宋体" w:cs="宋体"/>
                <w:kern w:val="0"/>
                <w:sz w:val="24"/>
              </w:rPr>
            </w:pPr>
            <w:r>
              <w:rPr>
                <w:rFonts w:hint="eastAsia" w:ascii="宋体" w:hAnsi="宋体" w:cs="宋体"/>
                <w:kern w:val="0"/>
                <w:sz w:val="24"/>
              </w:rPr>
              <w:t>桑村镇</w:t>
            </w:r>
          </w:p>
        </w:tc>
        <w:tc>
          <w:tcPr>
            <w:tcW w:w="684"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ascii="宋体" w:cs="宋体"/>
                <w:color w:val="000000" w:themeColor="text1"/>
                <w:kern w:val="0"/>
                <w:sz w:val="24"/>
                <w14:textFill>
                  <w14:solidFill>
                    <w14:schemeClr w14:val="tx1"/>
                  </w14:solidFill>
                </w14:textFill>
              </w:rPr>
              <w:t>22</w:t>
            </w:r>
          </w:p>
        </w:tc>
        <w:tc>
          <w:tcPr>
            <w:tcW w:w="1077"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14:textFill>
                  <w14:solidFill>
                    <w14:schemeClr w14:val="tx1"/>
                  </w14:solidFill>
                </w14:textFill>
              </w:rPr>
              <w:t>11026</w:t>
            </w:r>
          </w:p>
        </w:tc>
        <w:tc>
          <w:tcPr>
            <w:tcW w:w="1077"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14:textFill>
                  <w14:solidFill>
                    <w14:schemeClr w14:val="tx1"/>
                  </w14:solidFill>
                </w14:textFill>
              </w:rPr>
              <w:t>42350</w:t>
            </w:r>
          </w:p>
        </w:tc>
        <w:tc>
          <w:tcPr>
            <w:tcW w:w="1463" w:type="pct"/>
            <w:vMerge w:val="continue"/>
            <w:tcBorders>
              <w:top w:val="nil"/>
              <w:left w:val="single" w:color="auto" w:sz="4" w:space="0"/>
              <w:bottom w:val="single" w:color="000000" w:sz="4" w:space="0"/>
              <w:right w:val="single" w:color="auto" w:sz="4" w:space="0"/>
            </w:tcBorders>
            <w:noWrap/>
            <w:vAlign w:val="center"/>
          </w:tcPr>
          <w:p>
            <w:pPr>
              <w:widowControl/>
              <w:jc w:val="left"/>
              <w:rPr>
                <w:rFonts w:ascii="Arial" w:hAnsi="Arial" w:cs="Arial"/>
                <w:color w:val="000000"/>
                <w:kern w:val="0"/>
                <w:sz w:val="24"/>
              </w:rPr>
            </w:pPr>
          </w:p>
        </w:tc>
      </w:tr>
      <w:tr>
        <w:tblPrEx>
          <w:tblCellMar>
            <w:top w:w="0" w:type="dxa"/>
            <w:left w:w="108" w:type="dxa"/>
            <w:bottom w:w="0" w:type="dxa"/>
            <w:right w:w="108" w:type="dxa"/>
          </w:tblCellMar>
        </w:tblPrEx>
        <w:trPr>
          <w:trHeight w:val="450" w:hRule="atLeast"/>
          <w:jc w:val="center"/>
        </w:trPr>
        <w:tc>
          <w:tcPr>
            <w:tcW w:w="697" w:type="pct"/>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宋体" w:cs="宋体"/>
                <w:kern w:val="0"/>
                <w:sz w:val="24"/>
              </w:rPr>
            </w:pPr>
            <w:r>
              <w:rPr>
                <w:rFonts w:hint="eastAsia" w:ascii="宋体" w:hAnsi="宋体" w:cs="宋体"/>
                <w:kern w:val="0"/>
                <w:sz w:val="24"/>
              </w:rPr>
              <w:t>凫城镇</w:t>
            </w:r>
          </w:p>
        </w:tc>
        <w:tc>
          <w:tcPr>
            <w:tcW w:w="684"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ascii="宋体" w:cs="宋体"/>
                <w:color w:val="000000" w:themeColor="text1"/>
                <w:kern w:val="0"/>
                <w:sz w:val="24"/>
                <w14:textFill>
                  <w14:solidFill>
                    <w14:schemeClr w14:val="tx1"/>
                  </w14:solidFill>
                </w14:textFill>
              </w:rPr>
              <w:t>18</w:t>
            </w:r>
          </w:p>
        </w:tc>
        <w:tc>
          <w:tcPr>
            <w:tcW w:w="1077"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14:textFill>
                  <w14:solidFill>
                    <w14:schemeClr w14:val="tx1"/>
                  </w14:solidFill>
                </w14:textFill>
              </w:rPr>
              <w:t>4134</w:t>
            </w:r>
          </w:p>
        </w:tc>
        <w:tc>
          <w:tcPr>
            <w:tcW w:w="1077"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14:textFill>
                  <w14:solidFill>
                    <w14:schemeClr w14:val="tx1"/>
                  </w14:solidFill>
                </w14:textFill>
              </w:rPr>
              <w:t>18558</w:t>
            </w:r>
          </w:p>
        </w:tc>
        <w:tc>
          <w:tcPr>
            <w:tcW w:w="1463" w:type="pct"/>
            <w:vMerge w:val="continue"/>
            <w:tcBorders>
              <w:top w:val="nil"/>
              <w:left w:val="single" w:color="auto" w:sz="4" w:space="0"/>
              <w:bottom w:val="single" w:color="000000" w:sz="4" w:space="0"/>
              <w:right w:val="single" w:color="auto" w:sz="4" w:space="0"/>
            </w:tcBorders>
            <w:noWrap/>
            <w:vAlign w:val="center"/>
          </w:tcPr>
          <w:p>
            <w:pPr>
              <w:widowControl/>
              <w:jc w:val="left"/>
              <w:rPr>
                <w:rFonts w:ascii="Arial" w:hAnsi="Arial" w:cs="Arial"/>
                <w:color w:val="000000"/>
                <w:kern w:val="0"/>
                <w:sz w:val="24"/>
              </w:rPr>
            </w:pPr>
          </w:p>
        </w:tc>
      </w:tr>
      <w:tr>
        <w:tblPrEx>
          <w:tblCellMar>
            <w:top w:w="0" w:type="dxa"/>
            <w:left w:w="108" w:type="dxa"/>
            <w:bottom w:w="0" w:type="dxa"/>
            <w:right w:w="108" w:type="dxa"/>
          </w:tblCellMar>
        </w:tblPrEx>
        <w:trPr>
          <w:trHeight w:val="450" w:hRule="atLeast"/>
          <w:jc w:val="center"/>
        </w:trPr>
        <w:tc>
          <w:tcPr>
            <w:tcW w:w="697" w:type="pct"/>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宋体" w:cs="宋体"/>
                <w:kern w:val="0"/>
                <w:sz w:val="24"/>
              </w:rPr>
            </w:pPr>
            <w:r>
              <w:rPr>
                <w:rFonts w:hint="eastAsia" w:ascii="宋体" w:hAnsi="宋体" w:cs="宋体"/>
                <w:kern w:val="0"/>
                <w:sz w:val="24"/>
              </w:rPr>
              <w:t>北庄镇</w:t>
            </w:r>
          </w:p>
        </w:tc>
        <w:tc>
          <w:tcPr>
            <w:tcW w:w="684"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ascii="宋体" w:cs="宋体"/>
                <w:color w:val="000000" w:themeColor="text1"/>
                <w:kern w:val="0"/>
                <w:sz w:val="24"/>
                <w14:textFill>
                  <w14:solidFill>
                    <w14:schemeClr w14:val="tx1"/>
                  </w14:solidFill>
                </w14:textFill>
              </w:rPr>
              <w:t>21</w:t>
            </w:r>
          </w:p>
        </w:tc>
        <w:tc>
          <w:tcPr>
            <w:tcW w:w="1077"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14:textFill>
                  <w14:solidFill>
                    <w14:schemeClr w14:val="tx1"/>
                  </w14:solidFill>
                </w14:textFill>
              </w:rPr>
              <w:t>7921</w:t>
            </w:r>
          </w:p>
        </w:tc>
        <w:tc>
          <w:tcPr>
            <w:tcW w:w="1077"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14:textFill>
                  <w14:solidFill>
                    <w14:schemeClr w14:val="tx1"/>
                  </w14:solidFill>
                </w14:textFill>
              </w:rPr>
              <w:t>27998</w:t>
            </w:r>
          </w:p>
        </w:tc>
        <w:tc>
          <w:tcPr>
            <w:tcW w:w="1463" w:type="pct"/>
            <w:vMerge w:val="continue"/>
            <w:tcBorders>
              <w:top w:val="nil"/>
              <w:left w:val="single" w:color="auto" w:sz="4" w:space="0"/>
              <w:bottom w:val="single" w:color="000000" w:sz="4" w:space="0"/>
              <w:right w:val="single" w:color="auto" w:sz="4" w:space="0"/>
            </w:tcBorders>
            <w:noWrap/>
            <w:vAlign w:val="center"/>
          </w:tcPr>
          <w:p>
            <w:pPr>
              <w:widowControl/>
              <w:jc w:val="left"/>
              <w:rPr>
                <w:rFonts w:ascii="Arial" w:hAnsi="Arial" w:cs="Arial"/>
                <w:color w:val="000000"/>
                <w:kern w:val="0"/>
                <w:sz w:val="24"/>
              </w:rPr>
            </w:pPr>
          </w:p>
        </w:tc>
      </w:tr>
      <w:tr>
        <w:tblPrEx>
          <w:tblCellMar>
            <w:top w:w="0" w:type="dxa"/>
            <w:left w:w="108" w:type="dxa"/>
            <w:bottom w:w="0" w:type="dxa"/>
            <w:right w:w="108" w:type="dxa"/>
          </w:tblCellMar>
        </w:tblPrEx>
        <w:trPr>
          <w:trHeight w:val="450" w:hRule="atLeast"/>
          <w:jc w:val="center"/>
        </w:trPr>
        <w:tc>
          <w:tcPr>
            <w:tcW w:w="697" w:type="pct"/>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宋体" w:cs="宋体"/>
                <w:kern w:val="0"/>
                <w:sz w:val="24"/>
              </w:rPr>
            </w:pPr>
            <w:r>
              <w:rPr>
                <w:rFonts w:hint="eastAsia" w:ascii="宋体" w:hAnsi="宋体" w:cs="宋体"/>
                <w:kern w:val="0"/>
                <w:sz w:val="24"/>
              </w:rPr>
              <w:t>水泉镇</w:t>
            </w:r>
          </w:p>
        </w:tc>
        <w:tc>
          <w:tcPr>
            <w:tcW w:w="684"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ascii="宋体" w:cs="宋体"/>
                <w:color w:val="000000" w:themeColor="text1"/>
                <w:kern w:val="0"/>
                <w:sz w:val="24"/>
                <w14:textFill>
                  <w14:solidFill>
                    <w14:schemeClr w14:val="tx1"/>
                  </w14:solidFill>
                </w14:textFill>
              </w:rPr>
              <w:t>36</w:t>
            </w:r>
          </w:p>
        </w:tc>
        <w:tc>
          <w:tcPr>
            <w:tcW w:w="1077"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14:textFill>
                  <w14:solidFill>
                    <w14:schemeClr w14:val="tx1"/>
                  </w14:solidFill>
                </w14:textFill>
              </w:rPr>
              <w:t>8063</w:t>
            </w:r>
          </w:p>
        </w:tc>
        <w:tc>
          <w:tcPr>
            <w:tcW w:w="1077"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14:textFill>
                  <w14:solidFill>
                    <w14:schemeClr w14:val="tx1"/>
                  </w14:solidFill>
                </w14:textFill>
              </w:rPr>
              <w:t>28981</w:t>
            </w:r>
          </w:p>
        </w:tc>
        <w:tc>
          <w:tcPr>
            <w:tcW w:w="1463" w:type="pct"/>
            <w:vMerge w:val="continue"/>
            <w:tcBorders>
              <w:top w:val="nil"/>
              <w:left w:val="single" w:color="auto" w:sz="4" w:space="0"/>
              <w:bottom w:val="single" w:color="000000" w:sz="4" w:space="0"/>
              <w:right w:val="single" w:color="auto" w:sz="4" w:space="0"/>
            </w:tcBorders>
            <w:noWrap/>
            <w:vAlign w:val="center"/>
          </w:tcPr>
          <w:p>
            <w:pPr>
              <w:widowControl/>
              <w:jc w:val="left"/>
              <w:rPr>
                <w:rFonts w:ascii="Arial" w:hAnsi="Arial" w:cs="Arial"/>
                <w:color w:val="000000"/>
                <w:kern w:val="0"/>
                <w:sz w:val="24"/>
              </w:rPr>
            </w:pPr>
          </w:p>
        </w:tc>
      </w:tr>
      <w:tr>
        <w:tblPrEx>
          <w:tblCellMar>
            <w:top w:w="0" w:type="dxa"/>
            <w:left w:w="108" w:type="dxa"/>
            <w:bottom w:w="0" w:type="dxa"/>
            <w:right w:w="108" w:type="dxa"/>
          </w:tblCellMar>
        </w:tblPrEx>
        <w:trPr>
          <w:trHeight w:val="450" w:hRule="atLeast"/>
          <w:jc w:val="center"/>
        </w:trPr>
        <w:tc>
          <w:tcPr>
            <w:tcW w:w="697" w:type="pct"/>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宋体" w:cs="宋体"/>
                <w:kern w:val="0"/>
                <w:sz w:val="24"/>
              </w:rPr>
            </w:pPr>
            <w:r>
              <w:rPr>
                <w:rFonts w:hint="eastAsia" w:ascii="宋体" w:hAnsi="宋体" w:cs="宋体"/>
                <w:kern w:val="0"/>
                <w:sz w:val="24"/>
              </w:rPr>
              <w:t>冯卯镇</w:t>
            </w:r>
          </w:p>
        </w:tc>
        <w:tc>
          <w:tcPr>
            <w:tcW w:w="684"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ascii="宋体" w:cs="宋体"/>
                <w:color w:val="000000" w:themeColor="text1"/>
                <w:kern w:val="0"/>
                <w:sz w:val="24"/>
                <w14:textFill>
                  <w14:solidFill>
                    <w14:schemeClr w14:val="tx1"/>
                  </w14:solidFill>
                </w14:textFill>
              </w:rPr>
              <w:t>35</w:t>
            </w:r>
          </w:p>
        </w:tc>
        <w:tc>
          <w:tcPr>
            <w:tcW w:w="1077"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14:textFill>
                  <w14:solidFill>
                    <w14:schemeClr w14:val="tx1"/>
                  </w14:solidFill>
                </w14:textFill>
              </w:rPr>
              <w:t>9358</w:t>
            </w:r>
          </w:p>
        </w:tc>
        <w:tc>
          <w:tcPr>
            <w:tcW w:w="1077"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14:textFill>
                  <w14:solidFill>
                    <w14:schemeClr w14:val="tx1"/>
                  </w14:solidFill>
                </w14:textFill>
              </w:rPr>
              <w:t>35304</w:t>
            </w:r>
          </w:p>
        </w:tc>
        <w:tc>
          <w:tcPr>
            <w:tcW w:w="1463" w:type="pct"/>
            <w:vMerge w:val="continue"/>
            <w:tcBorders>
              <w:top w:val="nil"/>
              <w:left w:val="single" w:color="auto" w:sz="4" w:space="0"/>
              <w:bottom w:val="single" w:color="000000" w:sz="4" w:space="0"/>
              <w:right w:val="single" w:color="auto" w:sz="4" w:space="0"/>
            </w:tcBorders>
            <w:noWrap/>
            <w:vAlign w:val="center"/>
          </w:tcPr>
          <w:p>
            <w:pPr>
              <w:widowControl/>
              <w:jc w:val="left"/>
              <w:rPr>
                <w:rFonts w:ascii="Arial" w:hAnsi="Arial" w:cs="Arial"/>
                <w:color w:val="000000"/>
                <w:kern w:val="0"/>
                <w:sz w:val="24"/>
              </w:rPr>
            </w:pPr>
          </w:p>
        </w:tc>
      </w:tr>
      <w:tr>
        <w:tblPrEx>
          <w:tblCellMar>
            <w:top w:w="0" w:type="dxa"/>
            <w:left w:w="108" w:type="dxa"/>
            <w:bottom w:w="0" w:type="dxa"/>
            <w:right w:w="108" w:type="dxa"/>
          </w:tblCellMar>
        </w:tblPrEx>
        <w:trPr>
          <w:trHeight w:val="450" w:hRule="atLeast"/>
          <w:jc w:val="center"/>
        </w:trPr>
        <w:tc>
          <w:tcPr>
            <w:tcW w:w="697" w:type="pct"/>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宋体" w:cs="宋体"/>
                <w:kern w:val="0"/>
                <w:sz w:val="24"/>
              </w:rPr>
            </w:pPr>
            <w:r>
              <w:rPr>
                <w:rFonts w:hint="eastAsia" w:ascii="宋体" w:hAnsi="宋体" w:cs="宋体"/>
                <w:kern w:val="0"/>
                <w:sz w:val="24"/>
              </w:rPr>
              <w:t>店子镇</w:t>
            </w:r>
          </w:p>
        </w:tc>
        <w:tc>
          <w:tcPr>
            <w:tcW w:w="684"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ascii="宋体" w:cs="宋体"/>
                <w:color w:val="000000" w:themeColor="text1"/>
                <w:kern w:val="0"/>
                <w:sz w:val="24"/>
                <w14:textFill>
                  <w14:solidFill>
                    <w14:schemeClr w14:val="tx1"/>
                  </w14:solidFill>
                </w14:textFill>
              </w:rPr>
              <w:t>17</w:t>
            </w:r>
          </w:p>
        </w:tc>
        <w:tc>
          <w:tcPr>
            <w:tcW w:w="1077"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14:textFill>
                  <w14:solidFill>
                    <w14:schemeClr w14:val="tx1"/>
                  </w14:solidFill>
                </w14:textFill>
              </w:rPr>
              <w:t>7978</w:t>
            </w:r>
          </w:p>
        </w:tc>
        <w:tc>
          <w:tcPr>
            <w:tcW w:w="1077"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14:textFill>
                  <w14:solidFill>
                    <w14:schemeClr w14:val="tx1"/>
                  </w14:solidFill>
                </w14:textFill>
              </w:rPr>
              <w:t>23079</w:t>
            </w:r>
          </w:p>
        </w:tc>
        <w:tc>
          <w:tcPr>
            <w:tcW w:w="1463" w:type="pct"/>
            <w:vMerge w:val="continue"/>
            <w:tcBorders>
              <w:top w:val="nil"/>
              <w:left w:val="single" w:color="auto" w:sz="4" w:space="0"/>
              <w:bottom w:val="single" w:color="000000" w:sz="4" w:space="0"/>
              <w:right w:val="single" w:color="auto" w:sz="4" w:space="0"/>
            </w:tcBorders>
            <w:noWrap/>
            <w:vAlign w:val="center"/>
          </w:tcPr>
          <w:p>
            <w:pPr>
              <w:widowControl/>
              <w:jc w:val="left"/>
              <w:rPr>
                <w:rFonts w:ascii="Arial" w:hAnsi="Arial" w:cs="Arial"/>
                <w:color w:val="000000"/>
                <w:kern w:val="0"/>
                <w:sz w:val="24"/>
              </w:rPr>
            </w:pPr>
          </w:p>
        </w:tc>
      </w:tr>
      <w:tr>
        <w:tblPrEx>
          <w:tblCellMar>
            <w:top w:w="0" w:type="dxa"/>
            <w:left w:w="108" w:type="dxa"/>
            <w:bottom w:w="0" w:type="dxa"/>
            <w:right w:w="108" w:type="dxa"/>
          </w:tblCellMar>
        </w:tblPrEx>
        <w:trPr>
          <w:trHeight w:val="450" w:hRule="atLeast"/>
          <w:jc w:val="center"/>
        </w:trPr>
        <w:tc>
          <w:tcPr>
            <w:tcW w:w="697" w:type="pct"/>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宋体" w:cs="宋体"/>
                <w:kern w:val="0"/>
                <w:sz w:val="24"/>
              </w:rPr>
            </w:pPr>
            <w:r>
              <w:rPr>
                <w:rFonts w:hint="eastAsia" w:ascii="宋体" w:hAnsi="宋体" w:cs="宋体"/>
                <w:kern w:val="0"/>
                <w:sz w:val="24"/>
              </w:rPr>
              <w:t>徐庄镇</w:t>
            </w:r>
          </w:p>
        </w:tc>
        <w:tc>
          <w:tcPr>
            <w:tcW w:w="684"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ascii="宋体" w:cs="宋体"/>
                <w:color w:val="000000" w:themeColor="text1"/>
                <w:kern w:val="0"/>
                <w:sz w:val="24"/>
                <w14:textFill>
                  <w14:solidFill>
                    <w14:schemeClr w14:val="tx1"/>
                  </w14:solidFill>
                </w14:textFill>
              </w:rPr>
              <w:t>42</w:t>
            </w:r>
          </w:p>
        </w:tc>
        <w:tc>
          <w:tcPr>
            <w:tcW w:w="1077"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14:textFill>
                  <w14:solidFill>
                    <w14:schemeClr w14:val="tx1"/>
                  </w14:solidFill>
                </w14:textFill>
              </w:rPr>
              <w:t>11671</w:t>
            </w:r>
          </w:p>
        </w:tc>
        <w:tc>
          <w:tcPr>
            <w:tcW w:w="1077"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14:textFill>
                  <w14:solidFill>
                    <w14:schemeClr w14:val="tx1"/>
                  </w14:solidFill>
                </w14:textFill>
              </w:rPr>
              <w:t>38998</w:t>
            </w:r>
          </w:p>
        </w:tc>
        <w:tc>
          <w:tcPr>
            <w:tcW w:w="1463" w:type="pct"/>
            <w:vMerge w:val="continue"/>
            <w:tcBorders>
              <w:top w:val="nil"/>
              <w:left w:val="single" w:color="auto" w:sz="4" w:space="0"/>
              <w:bottom w:val="single" w:color="000000" w:sz="4" w:space="0"/>
              <w:right w:val="single" w:color="auto" w:sz="4" w:space="0"/>
            </w:tcBorders>
            <w:noWrap/>
            <w:vAlign w:val="center"/>
          </w:tcPr>
          <w:p>
            <w:pPr>
              <w:widowControl/>
              <w:jc w:val="left"/>
              <w:rPr>
                <w:rFonts w:ascii="Arial" w:hAnsi="Arial" w:cs="Arial"/>
                <w:color w:val="000000"/>
                <w:kern w:val="0"/>
                <w:sz w:val="24"/>
              </w:rPr>
            </w:pPr>
          </w:p>
        </w:tc>
      </w:tr>
      <w:tr>
        <w:tblPrEx>
          <w:tblCellMar>
            <w:top w:w="0" w:type="dxa"/>
            <w:left w:w="108" w:type="dxa"/>
            <w:bottom w:w="0" w:type="dxa"/>
            <w:right w:w="108" w:type="dxa"/>
          </w:tblCellMar>
        </w:tblPrEx>
        <w:trPr>
          <w:trHeight w:val="276" w:hRule="atLeast"/>
          <w:jc w:val="center"/>
        </w:trPr>
        <w:tc>
          <w:tcPr>
            <w:tcW w:w="697" w:type="pct"/>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宋体" w:cs="宋体"/>
                <w:kern w:val="0"/>
                <w:sz w:val="24"/>
              </w:rPr>
            </w:pPr>
            <w:r>
              <w:rPr>
                <w:rFonts w:hint="eastAsia" w:ascii="宋体" w:hAnsi="宋体" w:cs="宋体"/>
                <w:kern w:val="0"/>
                <w:sz w:val="24"/>
              </w:rPr>
              <w:t>合计</w:t>
            </w:r>
          </w:p>
        </w:tc>
        <w:tc>
          <w:tcPr>
            <w:tcW w:w="684"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ascii="宋体" w:cs="宋体"/>
                <w:color w:val="000000" w:themeColor="text1"/>
                <w:kern w:val="0"/>
                <w:sz w:val="24"/>
                <w14:textFill>
                  <w14:solidFill>
                    <w14:schemeClr w14:val="tx1"/>
                  </w14:solidFill>
                </w14:textFill>
              </w:rPr>
              <w:t>281</w:t>
            </w:r>
          </w:p>
        </w:tc>
        <w:tc>
          <w:tcPr>
            <w:tcW w:w="1077" w:type="pct"/>
            <w:tcBorders>
              <w:top w:val="nil"/>
              <w:left w:val="nil"/>
              <w:bottom w:val="single" w:color="auto" w:sz="4" w:space="0"/>
              <w:right w:val="single" w:color="auto" w:sz="4" w:space="0"/>
            </w:tcBorders>
            <w:noWrap/>
            <w:vAlign w:val="center"/>
          </w:tcPr>
          <w:p>
            <w:pPr>
              <w:widowControl/>
              <w:spacing w:line="440" w:lineRule="exact"/>
              <w:jc w:val="center"/>
              <w:rPr>
                <w:rFonts w:ascii="宋体" w:cs="宋体"/>
                <w:color w:val="000000" w:themeColor="text1"/>
                <w:kern w:val="0"/>
                <w:sz w:val="24"/>
                <w14:textFill>
                  <w14:solidFill>
                    <w14:schemeClr w14:val="tx1"/>
                  </w14:solidFill>
                </w14:textFill>
              </w:rPr>
            </w:pPr>
            <w:r>
              <w:rPr>
                <w:rFonts w:hint="eastAsia" w:ascii="宋体" w:cs="宋体"/>
                <w:color w:val="000000" w:themeColor="text1"/>
                <w:kern w:val="0"/>
                <w:sz w:val="24"/>
                <w14:textFill>
                  <w14:solidFill>
                    <w14:schemeClr w14:val="tx1"/>
                  </w14:solidFill>
                </w14:textFill>
              </w:rPr>
              <w:t>84027</w:t>
            </w:r>
          </w:p>
        </w:tc>
        <w:tc>
          <w:tcPr>
            <w:tcW w:w="1077" w:type="pct"/>
            <w:tcBorders>
              <w:top w:val="nil"/>
              <w:left w:val="nil"/>
              <w:bottom w:val="single" w:color="auto" w:sz="4" w:space="0"/>
              <w:right w:val="single" w:color="auto" w:sz="4" w:space="0"/>
            </w:tcBorders>
            <w:noWrap/>
            <w:vAlign w:val="center"/>
          </w:tcPr>
          <w:p>
            <w:pPr>
              <w:widowControl/>
              <w:spacing w:line="440" w:lineRule="exact"/>
              <w:jc w:val="center"/>
              <w:rPr>
                <w:rFonts w:hint="default" w:ascii="宋体" w:eastAsia="宋体" w:cs="宋体"/>
                <w:color w:val="000000" w:themeColor="text1"/>
                <w:kern w:val="0"/>
                <w:sz w:val="24"/>
                <w:lang w:val="en-US" w:eastAsia="zh-CN"/>
                <w14:textFill>
                  <w14:solidFill>
                    <w14:schemeClr w14:val="tx1"/>
                  </w14:solidFill>
                </w14:textFill>
              </w:rPr>
            </w:pPr>
            <w:r>
              <w:rPr>
                <w:rFonts w:hint="eastAsia" w:ascii="宋体" w:cs="宋体"/>
                <w:color w:val="000000" w:themeColor="text1"/>
                <w:kern w:val="0"/>
                <w:sz w:val="24"/>
                <w:lang w:val="en-US" w:eastAsia="zh-CN"/>
                <w14:textFill>
                  <w14:solidFill>
                    <w14:schemeClr w14:val="tx1"/>
                  </w14:solidFill>
                </w14:textFill>
              </w:rPr>
              <w:t>335369</w:t>
            </w:r>
          </w:p>
        </w:tc>
        <w:tc>
          <w:tcPr>
            <w:tcW w:w="1463" w:type="pct"/>
            <w:vMerge w:val="continue"/>
            <w:tcBorders>
              <w:top w:val="nil"/>
              <w:left w:val="single" w:color="auto" w:sz="4" w:space="0"/>
              <w:bottom w:val="single" w:color="000000" w:sz="4" w:space="0"/>
              <w:right w:val="single" w:color="auto" w:sz="4" w:space="0"/>
            </w:tcBorders>
            <w:noWrap/>
            <w:vAlign w:val="center"/>
          </w:tcPr>
          <w:p>
            <w:pPr>
              <w:widowControl/>
              <w:jc w:val="left"/>
              <w:rPr>
                <w:rFonts w:ascii="Arial" w:hAnsi="Arial" w:cs="Arial"/>
                <w:color w:val="000000"/>
                <w:kern w:val="0"/>
                <w:sz w:val="24"/>
              </w:rPr>
            </w:pPr>
          </w:p>
        </w:tc>
      </w:tr>
    </w:tbl>
    <w:p>
      <w:pPr>
        <w:tabs>
          <w:tab w:val="left" w:pos="1275"/>
        </w:tabs>
        <w:spacing w:line="560" w:lineRule="exact"/>
        <w:ind w:firstLine="420" w:firstLineChars="200"/>
        <w:jc w:val="left"/>
        <w:rPr>
          <w:rFonts w:hint="eastAsia" w:ascii="宋体" w:hAnsi="宋体" w:eastAsia="宋体" w:cs="宋体"/>
          <w:sz w:val="21"/>
          <w:szCs w:val="21"/>
          <w:lang w:eastAsia="zh-CN"/>
        </w:rPr>
        <w:sectPr>
          <w:pgSz w:w="16838" w:h="11906" w:orient="landscape"/>
          <w:pgMar w:top="1588" w:right="1701" w:bottom="1474" w:left="1588" w:header="851" w:footer="1134" w:gutter="0"/>
          <w:pgNumType w:fmt="numberInDash"/>
          <w:cols w:space="720" w:num="1"/>
          <w:docGrid w:type="linesAndChars" w:linePitch="314" w:charSpace="0"/>
        </w:sectPr>
      </w:pPr>
      <w:r>
        <w:rPr>
          <w:rFonts w:hint="eastAsia" w:ascii="宋体" w:hAnsi="宋体" w:cs="宋体"/>
          <w:sz w:val="21"/>
          <w:szCs w:val="21"/>
        </w:rPr>
        <w:t>备注：表中数据为测算计划数据，以</w:t>
      </w:r>
      <w:r>
        <w:rPr>
          <w:rFonts w:eastAsia="Times New Roman"/>
          <w:sz w:val="21"/>
          <w:szCs w:val="21"/>
        </w:rPr>
        <w:t>202</w:t>
      </w:r>
      <w:r>
        <w:rPr>
          <w:rFonts w:hint="eastAsia"/>
          <w:sz w:val="21"/>
          <w:szCs w:val="21"/>
          <w:lang w:val="en-US" w:eastAsia="zh-CN"/>
        </w:rPr>
        <w:t>3</w:t>
      </w:r>
      <w:r>
        <w:rPr>
          <w:rFonts w:hint="eastAsia" w:ascii="宋体" w:hAnsi="宋体" w:cs="宋体"/>
          <w:sz w:val="21"/>
          <w:szCs w:val="21"/>
        </w:rPr>
        <w:t>年度征缴公示人数为标准设定（养老保险征缴人数为</w:t>
      </w:r>
      <w:r>
        <w:rPr>
          <w:rFonts w:hint="eastAsia" w:ascii="宋体" w:hAnsi="宋体" w:cs="宋体"/>
          <w:sz w:val="21"/>
          <w:szCs w:val="21"/>
          <w:lang w:eastAsia="zh-CN"/>
        </w:rPr>
        <w:t>截至目前</w:t>
      </w:r>
      <w:r>
        <w:rPr>
          <w:rFonts w:hint="eastAsia" w:ascii="宋体" w:hAnsi="宋体" w:cs="宋体"/>
          <w:sz w:val="21"/>
          <w:szCs w:val="21"/>
        </w:rPr>
        <w:t>缴费人数）</w:t>
      </w:r>
    </w:p>
    <w:p>
      <w:pPr>
        <w:keepNext w:val="0"/>
        <w:keepLines w:val="0"/>
        <w:pageBreakBefore w:val="0"/>
        <w:tabs>
          <w:tab w:val="left" w:pos="646"/>
        </w:tabs>
        <w:kinsoku/>
        <w:wordWrap/>
        <w:overflowPunct/>
        <w:topLinePunct w:val="0"/>
        <w:autoSpaceDE/>
        <w:autoSpaceDN/>
        <w:bidi w:val="0"/>
        <w:adjustRightInd/>
        <w:snapToGrid/>
        <w:spacing w:line="560" w:lineRule="exact"/>
        <w:textAlignment w:val="auto"/>
        <w:rPr>
          <w:rFonts w:hint="eastAsia" w:eastAsia="宋体"/>
          <w:b w:val="0"/>
          <w:bCs w:val="0"/>
          <w:lang w:eastAsia="zh-CN"/>
        </w:rPr>
      </w:pPr>
    </w:p>
    <w:p>
      <w:pPr>
        <w:keepNext w:val="0"/>
        <w:keepLines w:val="0"/>
        <w:pageBreakBefore w:val="0"/>
        <w:tabs>
          <w:tab w:val="left" w:pos="646"/>
        </w:tabs>
        <w:kinsoku/>
        <w:wordWrap/>
        <w:overflowPunct/>
        <w:topLinePunct w:val="0"/>
        <w:autoSpaceDE/>
        <w:autoSpaceDN/>
        <w:bidi w:val="0"/>
        <w:adjustRightInd/>
        <w:snapToGrid/>
        <w:spacing w:line="560" w:lineRule="exact"/>
        <w:textAlignment w:val="auto"/>
        <w:rPr>
          <w:rFonts w:hint="eastAsia" w:eastAsia="宋体"/>
          <w:b w:val="0"/>
          <w:bCs w:val="0"/>
          <w:lang w:eastAsia="zh-CN"/>
        </w:rPr>
      </w:pPr>
    </w:p>
    <w:p>
      <w:pPr>
        <w:keepNext w:val="0"/>
        <w:keepLines w:val="0"/>
        <w:pageBreakBefore w:val="0"/>
        <w:tabs>
          <w:tab w:val="left" w:pos="646"/>
        </w:tabs>
        <w:kinsoku/>
        <w:wordWrap/>
        <w:overflowPunct/>
        <w:topLinePunct w:val="0"/>
        <w:autoSpaceDE/>
        <w:autoSpaceDN/>
        <w:bidi w:val="0"/>
        <w:adjustRightInd/>
        <w:snapToGrid/>
        <w:spacing w:line="560" w:lineRule="exact"/>
        <w:textAlignment w:val="auto"/>
        <w:rPr>
          <w:rFonts w:hint="eastAsia" w:eastAsia="宋体"/>
          <w:b w:val="0"/>
          <w:bCs w:val="0"/>
          <w:lang w:eastAsia="zh-CN"/>
        </w:rPr>
      </w:pPr>
    </w:p>
    <w:p>
      <w:pPr>
        <w:keepNext w:val="0"/>
        <w:keepLines w:val="0"/>
        <w:pageBreakBefore w:val="0"/>
        <w:tabs>
          <w:tab w:val="left" w:pos="646"/>
        </w:tabs>
        <w:kinsoku/>
        <w:wordWrap/>
        <w:overflowPunct/>
        <w:topLinePunct w:val="0"/>
        <w:autoSpaceDE/>
        <w:autoSpaceDN/>
        <w:bidi w:val="0"/>
        <w:adjustRightInd/>
        <w:snapToGrid/>
        <w:spacing w:line="560" w:lineRule="exact"/>
        <w:textAlignment w:val="auto"/>
        <w:rPr>
          <w:rFonts w:hint="eastAsia" w:eastAsia="宋体"/>
          <w:b w:val="0"/>
          <w:bCs w:val="0"/>
          <w:lang w:eastAsia="zh-CN"/>
        </w:rPr>
      </w:pPr>
    </w:p>
    <w:p>
      <w:pPr>
        <w:keepNext w:val="0"/>
        <w:keepLines w:val="0"/>
        <w:pageBreakBefore w:val="0"/>
        <w:tabs>
          <w:tab w:val="left" w:pos="646"/>
        </w:tabs>
        <w:kinsoku/>
        <w:wordWrap/>
        <w:overflowPunct/>
        <w:topLinePunct w:val="0"/>
        <w:autoSpaceDE/>
        <w:autoSpaceDN/>
        <w:bidi w:val="0"/>
        <w:adjustRightInd/>
        <w:snapToGrid/>
        <w:spacing w:line="560" w:lineRule="exact"/>
        <w:textAlignment w:val="auto"/>
        <w:rPr>
          <w:rFonts w:hint="eastAsia" w:eastAsia="宋体"/>
          <w:b w:val="0"/>
          <w:bCs w:val="0"/>
          <w:lang w:eastAsia="zh-CN"/>
        </w:rPr>
      </w:pPr>
    </w:p>
    <w:p>
      <w:pPr>
        <w:pStyle w:val="2"/>
        <w:rPr>
          <w:rFonts w:hint="eastAsia" w:eastAsia="宋体"/>
          <w:b w:val="0"/>
          <w:bCs w:val="0"/>
          <w:lang w:eastAsia="zh-CN"/>
        </w:rPr>
      </w:pPr>
    </w:p>
    <w:p>
      <w:pPr>
        <w:rPr>
          <w:rFonts w:hint="eastAsia" w:eastAsia="宋体"/>
          <w:b w:val="0"/>
          <w:bCs w:val="0"/>
          <w:lang w:eastAsia="zh-CN"/>
        </w:rPr>
      </w:pPr>
    </w:p>
    <w:p>
      <w:pPr>
        <w:pStyle w:val="2"/>
        <w:rPr>
          <w:rFonts w:hint="eastAsia" w:eastAsia="宋体"/>
          <w:b w:val="0"/>
          <w:bCs w:val="0"/>
          <w:lang w:eastAsia="zh-CN"/>
        </w:rPr>
      </w:pPr>
    </w:p>
    <w:p>
      <w:pPr>
        <w:rPr>
          <w:rFonts w:hint="eastAsia" w:eastAsia="宋体"/>
          <w:b w:val="0"/>
          <w:bCs w:val="0"/>
          <w:lang w:eastAsia="zh-CN"/>
        </w:rPr>
      </w:pPr>
    </w:p>
    <w:p>
      <w:pPr>
        <w:pStyle w:val="2"/>
        <w:rPr>
          <w:rFonts w:hint="eastAsia" w:eastAsia="宋体"/>
          <w:b w:val="0"/>
          <w:bCs w:val="0"/>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keepNext w:val="0"/>
        <w:keepLines w:val="0"/>
        <w:pageBreakBefore w:val="0"/>
        <w:kinsoku/>
        <w:overflowPunct/>
        <w:topLinePunct w:val="0"/>
        <w:autoSpaceDN/>
        <w:bidi w:val="0"/>
        <w:adjustRightInd/>
        <w:spacing w:line="560" w:lineRule="exact"/>
        <w:ind w:firstLine="614" w:firstLineChars="200"/>
        <w:textAlignment w:val="auto"/>
        <w:rPr>
          <w:rFonts w:hint="eastAsia" w:ascii="黑体" w:hAnsi="黑体" w:eastAsia="黑体"/>
          <w:spacing w:val="-8"/>
          <w:sz w:val="32"/>
          <w:szCs w:val="32"/>
        </w:rPr>
      </w:pPr>
    </w:p>
    <w:p>
      <w:pPr>
        <w:keepNext w:val="0"/>
        <w:keepLines w:val="0"/>
        <w:pageBreakBefore w:val="0"/>
        <w:pBdr>
          <w:top w:val="single" w:color="auto" w:sz="4" w:space="1"/>
          <w:bottom w:val="single" w:color="auto" w:sz="4" w:space="1"/>
        </w:pBdr>
        <w:kinsoku/>
        <w:overflowPunct/>
        <w:topLinePunct w:val="0"/>
        <w:autoSpaceDN/>
        <w:bidi w:val="0"/>
        <w:adjustRightInd/>
        <w:spacing w:line="560" w:lineRule="exact"/>
        <w:ind w:firstLine="267" w:firstLineChars="100"/>
        <w:textAlignment w:val="auto"/>
        <w:rPr>
          <w:rFonts w:hint="eastAsia" w:eastAsia="仿宋_GB2312"/>
          <w:b w:val="0"/>
          <w:bCs w:val="0"/>
          <w:sz w:val="28"/>
          <w:szCs w:val="28"/>
          <w:lang w:val="en" w:eastAsia="zh-CN"/>
        </w:rPr>
      </w:pPr>
      <w:r>
        <w:rPr>
          <w:rFonts w:hint="eastAsia" w:ascii="仿宋_GB2312" w:hAnsi="黑体" w:eastAsia="仿宋_GB2312"/>
          <w:spacing w:val="-8"/>
          <w:sz w:val="28"/>
          <w:szCs w:val="28"/>
        </w:rPr>
        <w:t xml:space="preserve">山亭区人民政府办公室         </w:t>
      </w:r>
      <w:r>
        <w:rPr>
          <w:rFonts w:hint="eastAsia" w:ascii="仿宋_GB2312" w:hAnsi="黑体" w:eastAsia="仿宋_GB2312"/>
          <w:spacing w:val="-8"/>
          <w:sz w:val="28"/>
          <w:szCs w:val="28"/>
          <w:lang w:val="en-US" w:eastAsia="zh-CN"/>
        </w:rPr>
        <w:t xml:space="preserve">   </w:t>
      </w:r>
      <w:r>
        <w:rPr>
          <w:rFonts w:hint="eastAsia" w:ascii="仿宋_GB2312" w:hAnsi="黑体" w:eastAsia="仿宋_GB2312"/>
          <w:spacing w:val="-8"/>
          <w:sz w:val="28"/>
          <w:szCs w:val="28"/>
        </w:rPr>
        <w:t xml:space="preserve">   </w:t>
      </w:r>
      <w:r>
        <w:rPr>
          <w:rFonts w:hint="eastAsia" w:ascii="仿宋_GB2312" w:hAnsi="黑体" w:eastAsia="仿宋_GB2312"/>
          <w:spacing w:val="-8"/>
          <w:sz w:val="28"/>
          <w:szCs w:val="28"/>
          <w:lang w:val="en-US" w:eastAsia="zh-CN"/>
        </w:rPr>
        <w:t xml:space="preserve">   </w:t>
      </w:r>
      <w:r>
        <w:rPr>
          <w:rFonts w:hint="eastAsia" w:ascii="仿宋_GB2312" w:hAnsi="黑体" w:eastAsia="仿宋_GB2312"/>
          <w:spacing w:val="-8"/>
          <w:sz w:val="28"/>
          <w:szCs w:val="28"/>
        </w:rPr>
        <w:t xml:space="preserve"> </w:t>
      </w:r>
      <w:r>
        <w:rPr>
          <w:rFonts w:hint="eastAsia" w:ascii="仿宋_GB2312" w:hAnsi="黑体" w:eastAsia="仿宋_GB2312"/>
          <w:spacing w:val="-8"/>
          <w:sz w:val="28"/>
          <w:szCs w:val="28"/>
          <w:lang w:val="en-US" w:eastAsia="zh-CN"/>
        </w:rPr>
        <w:t xml:space="preserve">    </w:t>
      </w:r>
      <w:r>
        <w:rPr>
          <w:rFonts w:hint="eastAsia" w:ascii="仿宋_GB2312" w:hAnsi="黑体" w:eastAsia="仿宋_GB2312"/>
          <w:spacing w:val="-8"/>
          <w:sz w:val="28"/>
          <w:szCs w:val="28"/>
        </w:rPr>
        <w:t>202</w:t>
      </w:r>
      <w:r>
        <w:rPr>
          <w:rFonts w:hint="eastAsia" w:ascii="仿宋_GB2312" w:hAnsi="黑体" w:eastAsia="仿宋_GB2312"/>
          <w:spacing w:val="-8"/>
          <w:sz w:val="28"/>
          <w:szCs w:val="28"/>
          <w:lang w:val="en-US" w:eastAsia="zh-CN"/>
        </w:rPr>
        <w:t>3</w:t>
      </w:r>
      <w:r>
        <w:rPr>
          <w:rFonts w:hint="eastAsia" w:ascii="仿宋_GB2312" w:hAnsi="黑体" w:eastAsia="仿宋_GB2312"/>
          <w:spacing w:val="-8"/>
          <w:sz w:val="28"/>
          <w:szCs w:val="28"/>
        </w:rPr>
        <w:t>年</w:t>
      </w:r>
      <w:r>
        <w:rPr>
          <w:rFonts w:hint="eastAsia" w:ascii="仿宋_GB2312" w:hAnsi="黑体" w:eastAsia="仿宋_GB2312"/>
          <w:spacing w:val="-8"/>
          <w:sz w:val="28"/>
          <w:szCs w:val="28"/>
          <w:lang w:val="en-US" w:eastAsia="zh-CN"/>
        </w:rPr>
        <w:t>11</w:t>
      </w:r>
      <w:r>
        <w:rPr>
          <w:rFonts w:hint="eastAsia" w:ascii="仿宋_GB2312" w:hAnsi="黑体" w:eastAsia="仿宋_GB2312"/>
          <w:spacing w:val="-8"/>
          <w:sz w:val="28"/>
          <w:szCs w:val="28"/>
        </w:rPr>
        <w:t>月</w:t>
      </w:r>
      <w:r>
        <w:rPr>
          <w:rFonts w:hint="eastAsia" w:ascii="仿宋_GB2312" w:hAnsi="黑体" w:eastAsia="仿宋_GB2312"/>
          <w:spacing w:val="-8"/>
          <w:sz w:val="28"/>
          <w:szCs w:val="28"/>
          <w:lang w:val="en-US" w:eastAsia="zh-CN"/>
        </w:rPr>
        <w:t>10</w:t>
      </w:r>
      <w:r>
        <w:rPr>
          <w:rFonts w:hint="eastAsia" w:ascii="仿宋_GB2312" w:hAnsi="黑体" w:eastAsia="仿宋_GB2312"/>
          <w:spacing w:val="-8"/>
          <w:sz w:val="28"/>
          <w:szCs w:val="28"/>
        </w:rPr>
        <w:t>日印</w:t>
      </w:r>
      <w:r>
        <w:rPr>
          <w:rFonts w:hint="eastAsia" w:ascii="仿宋_GB2312" w:hAnsi="黑体" w:eastAsia="仿宋_GB2312"/>
          <w:spacing w:val="-8"/>
          <w:sz w:val="28"/>
          <w:szCs w:val="28"/>
          <w:lang w:eastAsia="zh-CN"/>
        </w:rPr>
        <w:t>发</w:t>
      </w:r>
    </w:p>
    <w:sectPr>
      <w:pgSz w:w="11906" w:h="16838"/>
      <w:pgMar w:top="1984" w:right="1474" w:bottom="1871" w:left="1587" w:header="851" w:footer="992" w:gutter="0"/>
      <w:pgNumType w:fmt="numberInDash"/>
      <w:cols w:space="425" w:num="1"/>
      <w:rtlGutter w:val="0"/>
      <w:docGrid w:type="linesAndChars" w:linePitch="521" w:char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hY2FiMDY5MDA1N2QxOTc3MDk1MmJhZDNkN2Y4MmMifQ=="/>
  </w:docVars>
  <w:rsids>
    <w:rsidRoot w:val="75AE5F09"/>
    <w:rsid w:val="000039F8"/>
    <w:rsid w:val="0001646B"/>
    <w:rsid w:val="000233FE"/>
    <w:rsid w:val="0004352A"/>
    <w:rsid w:val="00051875"/>
    <w:rsid w:val="00066FBD"/>
    <w:rsid w:val="000A5DE9"/>
    <w:rsid w:val="000C2735"/>
    <w:rsid w:val="000E204A"/>
    <w:rsid w:val="00104D9E"/>
    <w:rsid w:val="0012308A"/>
    <w:rsid w:val="00130B00"/>
    <w:rsid w:val="0013419B"/>
    <w:rsid w:val="001358B5"/>
    <w:rsid w:val="0014073A"/>
    <w:rsid w:val="00141CEA"/>
    <w:rsid w:val="0017312D"/>
    <w:rsid w:val="00186DA2"/>
    <w:rsid w:val="001B4E87"/>
    <w:rsid w:val="001C501D"/>
    <w:rsid w:val="001C5107"/>
    <w:rsid w:val="001F1E15"/>
    <w:rsid w:val="0020338A"/>
    <w:rsid w:val="002377B9"/>
    <w:rsid w:val="00267B4C"/>
    <w:rsid w:val="0027736A"/>
    <w:rsid w:val="002B4F50"/>
    <w:rsid w:val="002B60C5"/>
    <w:rsid w:val="002B70D5"/>
    <w:rsid w:val="002E49C3"/>
    <w:rsid w:val="002F3028"/>
    <w:rsid w:val="0030117A"/>
    <w:rsid w:val="003064D8"/>
    <w:rsid w:val="00310304"/>
    <w:rsid w:val="00346DDE"/>
    <w:rsid w:val="00353BDA"/>
    <w:rsid w:val="003643C4"/>
    <w:rsid w:val="00364681"/>
    <w:rsid w:val="00376B21"/>
    <w:rsid w:val="003802E3"/>
    <w:rsid w:val="00382942"/>
    <w:rsid w:val="003A2AFA"/>
    <w:rsid w:val="003E187E"/>
    <w:rsid w:val="003E378B"/>
    <w:rsid w:val="003E7EB5"/>
    <w:rsid w:val="004051FA"/>
    <w:rsid w:val="00406FCA"/>
    <w:rsid w:val="004167DE"/>
    <w:rsid w:val="00422FED"/>
    <w:rsid w:val="004317E2"/>
    <w:rsid w:val="004358EA"/>
    <w:rsid w:val="00456971"/>
    <w:rsid w:val="004578F0"/>
    <w:rsid w:val="00461D92"/>
    <w:rsid w:val="004756D9"/>
    <w:rsid w:val="00480997"/>
    <w:rsid w:val="00487A65"/>
    <w:rsid w:val="004953CC"/>
    <w:rsid w:val="0049731A"/>
    <w:rsid w:val="004B1A9E"/>
    <w:rsid w:val="004B374C"/>
    <w:rsid w:val="004B58A3"/>
    <w:rsid w:val="004C17E9"/>
    <w:rsid w:val="00501CC2"/>
    <w:rsid w:val="00534987"/>
    <w:rsid w:val="0055000B"/>
    <w:rsid w:val="0055776E"/>
    <w:rsid w:val="00580325"/>
    <w:rsid w:val="005B32B8"/>
    <w:rsid w:val="005C7458"/>
    <w:rsid w:val="005D58AA"/>
    <w:rsid w:val="005E571B"/>
    <w:rsid w:val="005F44C9"/>
    <w:rsid w:val="006027FB"/>
    <w:rsid w:val="00610BEC"/>
    <w:rsid w:val="00635873"/>
    <w:rsid w:val="006423E9"/>
    <w:rsid w:val="006516C0"/>
    <w:rsid w:val="0066077A"/>
    <w:rsid w:val="00662907"/>
    <w:rsid w:val="00667014"/>
    <w:rsid w:val="00681DBE"/>
    <w:rsid w:val="006A1C6B"/>
    <w:rsid w:val="006B0C49"/>
    <w:rsid w:val="006B1ED3"/>
    <w:rsid w:val="006C381A"/>
    <w:rsid w:val="006C54A2"/>
    <w:rsid w:val="006D14D9"/>
    <w:rsid w:val="006F0FF2"/>
    <w:rsid w:val="00703E60"/>
    <w:rsid w:val="0070525F"/>
    <w:rsid w:val="00720320"/>
    <w:rsid w:val="00731118"/>
    <w:rsid w:val="00733388"/>
    <w:rsid w:val="00754DFA"/>
    <w:rsid w:val="007854FC"/>
    <w:rsid w:val="007A76B2"/>
    <w:rsid w:val="007B7C04"/>
    <w:rsid w:val="00800EBA"/>
    <w:rsid w:val="00811CE1"/>
    <w:rsid w:val="00817FB0"/>
    <w:rsid w:val="00852B7B"/>
    <w:rsid w:val="00861584"/>
    <w:rsid w:val="00880D46"/>
    <w:rsid w:val="00891C1C"/>
    <w:rsid w:val="00893223"/>
    <w:rsid w:val="008A089A"/>
    <w:rsid w:val="008A2E62"/>
    <w:rsid w:val="008A39B8"/>
    <w:rsid w:val="008C0C85"/>
    <w:rsid w:val="008F54FF"/>
    <w:rsid w:val="0090175C"/>
    <w:rsid w:val="0092693F"/>
    <w:rsid w:val="0094108E"/>
    <w:rsid w:val="00942323"/>
    <w:rsid w:val="00942709"/>
    <w:rsid w:val="00987C2C"/>
    <w:rsid w:val="00995AB4"/>
    <w:rsid w:val="009B38FB"/>
    <w:rsid w:val="009B6963"/>
    <w:rsid w:val="009C0E84"/>
    <w:rsid w:val="009C4D7C"/>
    <w:rsid w:val="009D40A1"/>
    <w:rsid w:val="009D4FA8"/>
    <w:rsid w:val="009F64A9"/>
    <w:rsid w:val="00A078EE"/>
    <w:rsid w:val="00A115EB"/>
    <w:rsid w:val="00A15EC1"/>
    <w:rsid w:val="00A30445"/>
    <w:rsid w:val="00A367A6"/>
    <w:rsid w:val="00A41818"/>
    <w:rsid w:val="00A43EA1"/>
    <w:rsid w:val="00A443A5"/>
    <w:rsid w:val="00A50781"/>
    <w:rsid w:val="00A60F62"/>
    <w:rsid w:val="00A67C15"/>
    <w:rsid w:val="00A7223A"/>
    <w:rsid w:val="00A76107"/>
    <w:rsid w:val="00AD0A69"/>
    <w:rsid w:val="00AD5F85"/>
    <w:rsid w:val="00B07BC5"/>
    <w:rsid w:val="00B1415F"/>
    <w:rsid w:val="00B274E2"/>
    <w:rsid w:val="00B40110"/>
    <w:rsid w:val="00B42BF0"/>
    <w:rsid w:val="00B55374"/>
    <w:rsid w:val="00B64867"/>
    <w:rsid w:val="00BA18BE"/>
    <w:rsid w:val="00BC0F7A"/>
    <w:rsid w:val="00BD0CDA"/>
    <w:rsid w:val="00BF1C89"/>
    <w:rsid w:val="00C26907"/>
    <w:rsid w:val="00C3023F"/>
    <w:rsid w:val="00C4514D"/>
    <w:rsid w:val="00C9029C"/>
    <w:rsid w:val="00CD13F6"/>
    <w:rsid w:val="00CE0485"/>
    <w:rsid w:val="00D0127C"/>
    <w:rsid w:val="00D072CD"/>
    <w:rsid w:val="00D40B13"/>
    <w:rsid w:val="00D41BA2"/>
    <w:rsid w:val="00D46D2D"/>
    <w:rsid w:val="00D52750"/>
    <w:rsid w:val="00D72193"/>
    <w:rsid w:val="00D74527"/>
    <w:rsid w:val="00D82148"/>
    <w:rsid w:val="00D85159"/>
    <w:rsid w:val="00DA61AF"/>
    <w:rsid w:val="00DA6646"/>
    <w:rsid w:val="00DA6D57"/>
    <w:rsid w:val="00DB3252"/>
    <w:rsid w:val="00DB4EA6"/>
    <w:rsid w:val="00DC51EC"/>
    <w:rsid w:val="00DC747A"/>
    <w:rsid w:val="00DD2A33"/>
    <w:rsid w:val="00E10861"/>
    <w:rsid w:val="00E24F93"/>
    <w:rsid w:val="00E2552E"/>
    <w:rsid w:val="00E55084"/>
    <w:rsid w:val="00E74E63"/>
    <w:rsid w:val="00EC2321"/>
    <w:rsid w:val="00EC2909"/>
    <w:rsid w:val="00F00BC3"/>
    <w:rsid w:val="00F05604"/>
    <w:rsid w:val="00F1756D"/>
    <w:rsid w:val="00F17929"/>
    <w:rsid w:val="00F27BB7"/>
    <w:rsid w:val="00F31859"/>
    <w:rsid w:val="00F3315E"/>
    <w:rsid w:val="00F4343E"/>
    <w:rsid w:val="00F45545"/>
    <w:rsid w:val="00F5067F"/>
    <w:rsid w:val="00F52062"/>
    <w:rsid w:val="00F56925"/>
    <w:rsid w:val="00F6084C"/>
    <w:rsid w:val="00F76E9E"/>
    <w:rsid w:val="00F920B9"/>
    <w:rsid w:val="00FA6AC8"/>
    <w:rsid w:val="00FB096F"/>
    <w:rsid w:val="00FD1039"/>
    <w:rsid w:val="00FE4E7D"/>
    <w:rsid w:val="00FF6826"/>
    <w:rsid w:val="00FF75A5"/>
    <w:rsid w:val="019573D3"/>
    <w:rsid w:val="01C10C30"/>
    <w:rsid w:val="025C089B"/>
    <w:rsid w:val="02AA0B62"/>
    <w:rsid w:val="03147EC9"/>
    <w:rsid w:val="032260B2"/>
    <w:rsid w:val="037B262E"/>
    <w:rsid w:val="042572F3"/>
    <w:rsid w:val="045C1789"/>
    <w:rsid w:val="04ED14D6"/>
    <w:rsid w:val="05231F8B"/>
    <w:rsid w:val="065939FD"/>
    <w:rsid w:val="07AD5AFD"/>
    <w:rsid w:val="086C1B93"/>
    <w:rsid w:val="09D50053"/>
    <w:rsid w:val="0A0643D0"/>
    <w:rsid w:val="0AE73568"/>
    <w:rsid w:val="0BA976D0"/>
    <w:rsid w:val="0BAA726D"/>
    <w:rsid w:val="0C1B7C34"/>
    <w:rsid w:val="0D1B1ACD"/>
    <w:rsid w:val="0E8C0B61"/>
    <w:rsid w:val="0ED163D3"/>
    <w:rsid w:val="0FCA21F3"/>
    <w:rsid w:val="102D1AAE"/>
    <w:rsid w:val="10A96A89"/>
    <w:rsid w:val="11842A69"/>
    <w:rsid w:val="11AC4775"/>
    <w:rsid w:val="12FD414F"/>
    <w:rsid w:val="138C2E10"/>
    <w:rsid w:val="14837889"/>
    <w:rsid w:val="16F017D1"/>
    <w:rsid w:val="17187FC8"/>
    <w:rsid w:val="18A7520C"/>
    <w:rsid w:val="18B865AD"/>
    <w:rsid w:val="18B95D4D"/>
    <w:rsid w:val="19A56A6D"/>
    <w:rsid w:val="1A7F1227"/>
    <w:rsid w:val="1B387827"/>
    <w:rsid w:val="1B390A3E"/>
    <w:rsid w:val="1BDC7B85"/>
    <w:rsid w:val="1C30687E"/>
    <w:rsid w:val="1C723C15"/>
    <w:rsid w:val="1CBA09BB"/>
    <w:rsid w:val="1DF54D4B"/>
    <w:rsid w:val="1DFC598D"/>
    <w:rsid w:val="1FE3277A"/>
    <w:rsid w:val="20270A5D"/>
    <w:rsid w:val="20F015E1"/>
    <w:rsid w:val="210D7263"/>
    <w:rsid w:val="21D45460"/>
    <w:rsid w:val="227917FB"/>
    <w:rsid w:val="22D00EF3"/>
    <w:rsid w:val="23BC3C88"/>
    <w:rsid w:val="243F0018"/>
    <w:rsid w:val="25162B64"/>
    <w:rsid w:val="25C107E5"/>
    <w:rsid w:val="25DA497F"/>
    <w:rsid w:val="27A40FB9"/>
    <w:rsid w:val="287C69A9"/>
    <w:rsid w:val="28E56C74"/>
    <w:rsid w:val="28F37EE9"/>
    <w:rsid w:val="29321306"/>
    <w:rsid w:val="299F3CCC"/>
    <w:rsid w:val="2A0315B5"/>
    <w:rsid w:val="2AC7562F"/>
    <w:rsid w:val="2BA168CA"/>
    <w:rsid w:val="2BF4504C"/>
    <w:rsid w:val="2BF9733D"/>
    <w:rsid w:val="2C7701CA"/>
    <w:rsid w:val="2CAE4447"/>
    <w:rsid w:val="2D8361B0"/>
    <w:rsid w:val="2F28286B"/>
    <w:rsid w:val="2F745719"/>
    <w:rsid w:val="2FC82B8D"/>
    <w:rsid w:val="30275F10"/>
    <w:rsid w:val="307E5DDA"/>
    <w:rsid w:val="317FF7A5"/>
    <w:rsid w:val="32061CFC"/>
    <w:rsid w:val="32216283"/>
    <w:rsid w:val="330E59A8"/>
    <w:rsid w:val="331D7695"/>
    <w:rsid w:val="33A57111"/>
    <w:rsid w:val="35E13004"/>
    <w:rsid w:val="35FE265A"/>
    <w:rsid w:val="363A0175"/>
    <w:rsid w:val="36A0379A"/>
    <w:rsid w:val="36D6478E"/>
    <w:rsid w:val="36DD19D9"/>
    <w:rsid w:val="3A3B723B"/>
    <w:rsid w:val="3B755A54"/>
    <w:rsid w:val="3C1047E6"/>
    <w:rsid w:val="3C583CC3"/>
    <w:rsid w:val="3CEE5704"/>
    <w:rsid w:val="3DD84C76"/>
    <w:rsid w:val="3E426DC9"/>
    <w:rsid w:val="3EFA62B6"/>
    <w:rsid w:val="40A024B6"/>
    <w:rsid w:val="412E66C0"/>
    <w:rsid w:val="413F09AD"/>
    <w:rsid w:val="42767381"/>
    <w:rsid w:val="427B3BAC"/>
    <w:rsid w:val="42F575CE"/>
    <w:rsid w:val="43943464"/>
    <w:rsid w:val="43F0351A"/>
    <w:rsid w:val="440523C6"/>
    <w:rsid w:val="44627E08"/>
    <w:rsid w:val="44C8393C"/>
    <w:rsid w:val="467D5E6D"/>
    <w:rsid w:val="46DA6F0C"/>
    <w:rsid w:val="470F05A3"/>
    <w:rsid w:val="472A0EE3"/>
    <w:rsid w:val="478F055D"/>
    <w:rsid w:val="47D16124"/>
    <w:rsid w:val="48052B82"/>
    <w:rsid w:val="485E1F31"/>
    <w:rsid w:val="48B113ED"/>
    <w:rsid w:val="48C646E5"/>
    <w:rsid w:val="4A621941"/>
    <w:rsid w:val="4AFE5E50"/>
    <w:rsid w:val="4CC053BB"/>
    <w:rsid w:val="4D302BB2"/>
    <w:rsid w:val="4DD76B65"/>
    <w:rsid w:val="4E696160"/>
    <w:rsid w:val="4E7533DF"/>
    <w:rsid w:val="4EB62577"/>
    <w:rsid w:val="4F817799"/>
    <w:rsid w:val="508E6396"/>
    <w:rsid w:val="50F5380B"/>
    <w:rsid w:val="52A15140"/>
    <w:rsid w:val="537A4BB5"/>
    <w:rsid w:val="53B95F14"/>
    <w:rsid w:val="53C96D0C"/>
    <w:rsid w:val="54672C8E"/>
    <w:rsid w:val="552D163A"/>
    <w:rsid w:val="55483197"/>
    <w:rsid w:val="554D6AC5"/>
    <w:rsid w:val="55D351D3"/>
    <w:rsid w:val="564B4E3D"/>
    <w:rsid w:val="57C02664"/>
    <w:rsid w:val="57D63279"/>
    <w:rsid w:val="580617D3"/>
    <w:rsid w:val="58E1295F"/>
    <w:rsid w:val="591555D7"/>
    <w:rsid w:val="59561C72"/>
    <w:rsid w:val="5A080DA7"/>
    <w:rsid w:val="5A267B42"/>
    <w:rsid w:val="5AB46412"/>
    <w:rsid w:val="5AF407C9"/>
    <w:rsid w:val="5B0A10E8"/>
    <w:rsid w:val="5C5279AC"/>
    <w:rsid w:val="5CFE7F6C"/>
    <w:rsid w:val="5D2F65B0"/>
    <w:rsid w:val="5DD50E4E"/>
    <w:rsid w:val="5ECE0C97"/>
    <w:rsid w:val="5EDE1790"/>
    <w:rsid w:val="5EEC0919"/>
    <w:rsid w:val="5F257403"/>
    <w:rsid w:val="5F6B1172"/>
    <w:rsid w:val="5FE11A5B"/>
    <w:rsid w:val="5FF454F5"/>
    <w:rsid w:val="60C26ECA"/>
    <w:rsid w:val="60FC0688"/>
    <w:rsid w:val="61FA04EE"/>
    <w:rsid w:val="62B50E64"/>
    <w:rsid w:val="63250A37"/>
    <w:rsid w:val="633346EE"/>
    <w:rsid w:val="634E25FF"/>
    <w:rsid w:val="639849BD"/>
    <w:rsid w:val="64BE7AFB"/>
    <w:rsid w:val="65024911"/>
    <w:rsid w:val="65435C5B"/>
    <w:rsid w:val="668E1722"/>
    <w:rsid w:val="66C06D3D"/>
    <w:rsid w:val="672D1356"/>
    <w:rsid w:val="67AD1F6E"/>
    <w:rsid w:val="67F54534"/>
    <w:rsid w:val="684615E7"/>
    <w:rsid w:val="689E049E"/>
    <w:rsid w:val="68E31AED"/>
    <w:rsid w:val="68E74E4B"/>
    <w:rsid w:val="69644B75"/>
    <w:rsid w:val="69D84740"/>
    <w:rsid w:val="69DE5581"/>
    <w:rsid w:val="6A35086B"/>
    <w:rsid w:val="6AB5426B"/>
    <w:rsid w:val="6AC94C59"/>
    <w:rsid w:val="6AF3127B"/>
    <w:rsid w:val="6BE45515"/>
    <w:rsid w:val="6C107A63"/>
    <w:rsid w:val="6C422669"/>
    <w:rsid w:val="6CDB004F"/>
    <w:rsid w:val="6D8E4B92"/>
    <w:rsid w:val="6DBD0436"/>
    <w:rsid w:val="6E3E0DBD"/>
    <w:rsid w:val="6EBF06D0"/>
    <w:rsid w:val="6F680AC4"/>
    <w:rsid w:val="70B34F90"/>
    <w:rsid w:val="72A358E9"/>
    <w:rsid w:val="72E020C7"/>
    <w:rsid w:val="73060EDE"/>
    <w:rsid w:val="747A2A22"/>
    <w:rsid w:val="74A50BEC"/>
    <w:rsid w:val="75AE5F09"/>
    <w:rsid w:val="76597574"/>
    <w:rsid w:val="76D032F1"/>
    <w:rsid w:val="77C64353"/>
    <w:rsid w:val="7820426C"/>
    <w:rsid w:val="7896461E"/>
    <w:rsid w:val="79296A57"/>
    <w:rsid w:val="79365536"/>
    <w:rsid w:val="79431517"/>
    <w:rsid w:val="797E4E6C"/>
    <w:rsid w:val="7A8A7491"/>
    <w:rsid w:val="7ADD16D7"/>
    <w:rsid w:val="7AFB74C9"/>
    <w:rsid w:val="7BAF7EBD"/>
    <w:rsid w:val="7BB13EAD"/>
    <w:rsid w:val="7D2423B6"/>
    <w:rsid w:val="7D8A327A"/>
    <w:rsid w:val="7F3D74CD"/>
    <w:rsid w:val="7F5C7AAD"/>
    <w:rsid w:val="7F874A6D"/>
    <w:rsid w:val="ADBB3042"/>
    <w:rsid w:val="DADFA84B"/>
    <w:rsid w:val="E6A2521B"/>
    <w:rsid w:val="E7FFF9BC"/>
    <w:rsid w:val="F6CC0FBF"/>
    <w:rsid w:val="F9BEAFBC"/>
    <w:rsid w:val="FE3E34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0" w:semiHidden="0" w:name="toc 1" w:locked="1"/>
    <w:lsdException w:uiPriority="39" w:name="toc 2" w:locked="1"/>
    <w:lsdException w:uiPriority="39" w:name="toc 3" w:locked="1"/>
    <w:lsdException w:uiPriority="39" w:name="toc 4" w:locked="1"/>
    <w:lsdException w:qFormat="1" w:unhideWhenUsed="0" w:uiPriority="0" w:semiHidden="0"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0"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autoRedefine/>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locked/>
    <w:uiPriority w:val="0"/>
    <w:pPr>
      <w:snapToGrid w:val="0"/>
      <w:spacing w:line="640" w:lineRule="exact"/>
      <w:ind w:firstLine="705"/>
    </w:pPr>
    <w:rPr>
      <w:rFonts w:ascii="仿宋_GB2312" w:hAnsi="宋体" w:eastAsia="仿宋_GB2312"/>
      <w:color w:val="000000"/>
      <w:sz w:val="36"/>
      <w:szCs w:val="36"/>
    </w:rPr>
  </w:style>
  <w:style w:type="paragraph" w:styleId="3">
    <w:name w:val="Body Text"/>
    <w:basedOn w:val="1"/>
    <w:next w:val="4"/>
    <w:autoRedefine/>
    <w:qFormat/>
    <w:locked/>
    <w:uiPriority w:val="0"/>
    <w:pPr>
      <w:spacing w:before="0" w:after="140" w:line="276" w:lineRule="auto"/>
    </w:pPr>
  </w:style>
  <w:style w:type="paragraph" w:styleId="4">
    <w:name w:val="toc 5"/>
    <w:basedOn w:val="1"/>
    <w:next w:val="1"/>
    <w:qFormat/>
    <w:locked/>
    <w:uiPriority w:val="0"/>
    <w:pPr>
      <w:ind w:left="1680" w:leftChars="800"/>
    </w:pPr>
    <w:rPr>
      <w:rFonts w:ascii="Times New Roman" w:hAnsi="Times New Roman"/>
    </w:rPr>
  </w:style>
  <w:style w:type="paragraph" w:styleId="5">
    <w:name w:val="Balloon Text"/>
    <w:basedOn w:val="1"/>
    <w:link w:val="13"/>
    <w:autoRedefine/>
    <w:semiHidden/>
    <w:qFormat/>
    <w:locked/>
    <w:uiPriority w:val="99"/>
    <w:rPr>
      <w:sz w:val="18"/>
      <w:szCs w:val="18"/>
    </w:rPr>
  </w:style>
  <w:style w:type="paragraph" w:styleId="6">
    <w:name w:val="footer"/>
    <w:basedOn w:val="1"/>
    <w:link w:val="14"/>
    <w:autoRedefine/>
    <w:qFormat/>
    <w:uiPriority w:val="99"/>
    <w:pPr>
      <w:tabs>
        <w:tab w:val="center" w:pos="4153"/>
        <w:tab w:val="right" w:pos="8306"/>
      </w:tabs>
      <w:snapToGrid w:val="0"/>
      <w:jc w:val="left"/>
    </w:pPr>
    <w:rPr>
      <w:sz w:val="18"/>
      <w:szCs w:val="18"/>
    </w:rPr>
  </w:style>
  <w:style w:type="paragraph" w:styleId="7">
    <w:name w:val="header"/>
    <w:basedOn w:val="1"/>
    <w:semiHidden/>
    <w:unhideWhenUsed/>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99"/>
    <w:pPr>
      <w:widowControl/>
      <w:jc w:val="left"/>
    </w:pPr>
    <w:rPr>
      <w:rFonts w:ascii="宋体" w:hAnsi="宋体" w:cs="宋体"/>
      <w:kern w:val="0"/>
      <w:sz w:val="24"/>
      <w:szCs w:val="24"/>
    </w:rPr>
  </w:style>
  <w:style w:type="character" w:styleId="11">
    <w:name w:val="page number"/>
    <w:basedOn w:val="10"/>
    <w:qFormat/>
    <w:uiPriority w:val="99"/>
    <w:rPr>
      <w:rFonts w:cs="Times New Roman"/>
    </w:rPr>
  </w:style>
  <w:style w:type="character" w:styleId="12">
    <w:name w:val="Hyperlink"/>
    <w:basedOn w:val="10"/>
    <w:autoRedefine/>
    <w:semiHidden/>
    <w:qFormat/>
    <w:locked/>
    <w:uiPriority w:val="99"/>
    <w:rPr>
      <w:rFonts w:cs="Times New Roman"/>
      <w:color w:val="0000FF"/>
      <w:u w:val="single"/>
    </w:rPr>
  </w:style>
  <w:style w:type="character" w:customStyle="1" w:styleId="13">
    <w:name w:val="Balloon Text Char"/>
    <w:basedOn w:val="10"/>
    <w:link w:val="5"/>
    <w:autoRedefine/>
    <w:semiHidden/>
    <w:qFormat/>
    <w:locked/>
    <w:uiPriority w:val="99"/>
    <w:rPr>
      <w:rFonts w:ascii="Calibri" w:hAnsi="Calibri" w:cs="Calibri"/>
      <w:sz w:val="2"/>
    </w:rPr>
  </w:style>
  <w:style w:type="character" w:customStyle="1" w:styleId="14">
    <w:name w:val="Footer Char"/>
    <w:basedOn w:val="10"/>
    <w:link w:val="6"/>
    <w:autoRedefine/>
    <w:semiHidden/>
    <w:qFormat/>
    <w:locked/>
    <w:uiPriority w:val="99"/>
    <w:rPr>
      <w:rFonts w:cs="Times New Roman"/>
      <w:sz w:val="18"/>
      <w:szCs w:val="18"/>
    </w:rPr>
  </w:style>
  <w:style w:type="paragraph" w:customStyle="1" w:styleId="15">
    <w:name w:val="无间隔"/>
    <w:qFormat/>
    <w:uiPriority w:val="99"/>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14</Pages>
  <Words>4487</Words>
  <Characters>4786</Characters>
  <Lines>0</Lines>
  <Paragraphs>0</Paragraphs>
  <TotalTime>24</TotalTime>
  <ScaleCrop>false</ScaleCrop>
  <LinksUpToDate>false</LinksUpToDate>
  <CharactersWithSpaces>4881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2022-10-12T11:06:00Z</dcterms:created>
  <dc:creator>朱智慧</dc:creator>
  <cp:lastModifiedBy>周沫</cp:lastModifiedBy>
  <cp:lastPrinted>2023-11-10T09:36:00Z</cp:lastPrinted>
  <dcterms:modified xsi:type="dcterms:W3CDTF">2024-03-04T05:16:13Z</dcterms:modified>
  <dc:title>山亭区2022年度城乡居民基本养老、基本医疗保险集中征缴工作实施方案</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32650950401247368DFD0B85C2E6BDCC_13</vt:lpwstr>
  </property>
</Properties>
</file>